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 w:hAnsi="仿宋" w:eastAsia="仿宋" w:cs="仿宋"/>
          <w:color w:val="000000"/>
          <w:sz w:val="32"/>
          <w:szCs w:val="32"/>
          <w:lang w:val="zh-CN"/>
        </w:rPr>
      </w:pPr>
    </w:p>
    <w:p>
      <w:pPr>
        <w:spacing w:line="640" w:lineRule="exact"/>
        <w:ind w:firstLine="440" w:firstLineChars="100"/>
        <w:jc w:val="both"/>
        <w:rPr>
          <w:rFonts w:eastAsia="方正小标宋简体"/>
          <w:color w:val="000000"/>
          <w:sz w:val="44"/>
          <w:szCs w:val="44"/>
        </w:rPr>
      </w:pPr>
      <w:bookmarkStart w:id="7" w:name="_GoBack"/>
      <w:bookmarkEnd w:id="7"/>
      <w:r>
        <w:rPr>
          <w:rFonts w:hint="eastAsia" w:eastAsia="方正小标宋简体"/>
          <w:color w:val="000000"/>
          <w:sz w:val="44"/>
          <w:szCs w:val="44"/>
          <w:lang w:val="en-US" w:eastAsia="zh-CN"/>
        </w:rPr>
        <w:t>江</w:t>
      </w:r>
      <w:r>
        <w:rPr>
          <w:rFonts w:eastAsia="方正小标宋简体"/>
          <w:color w:val="000000"/>
          <w:sz w:val="44"/>
          <w:szCs w:val="44"/>
        </w:rPr>
        <w:t>苏省2023年普通高等学校招生工作意见</w:t>
      </w:r>
    </w:p>
    <w:p>
      <w:pPr>
        <w:spacing w:line="540" w:lineRule="exact"/>
        <w:rPr>
          <w:color w:val="000000"/>
          <w:sz w:val="28"/>
        </w:rPr>
      </w:pPr>
    </w:p>
    <w:p>
      <w:pPr>
        <w:pStyle w:val="11"/>
        <w:widowControl w:val="0"/>
        <w:spacing w:before="0" w:beforeAutospacing="0" w:after="0" w:afterAutospacing="0" w:line="54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根据《教育部关于做好2023年普通高校招生工作的通知》（教学〔2023〕1号）等文件精神，结合我省实际，现就做好我省2023年普通高等学校（以下简称高校）招生工作提出如下意见。</w:t>
      </w:r>
    </w:p>
    <w:p>
      <w:pPr>
        <w:pStyle w:val="11"/>
        <w:widowControl w:val="0"/>
        <w:spacing w:before="0" w:beforeAutospacing="0" w:after="0" w:afterAutospacing="0" w:line="540" w:lineRule="exact"/>
        <w:ind w:firstLine="645"/>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高校招生工作应贯彻公平竞争、公正选拔、公开透明的原则，德智体美劳全面考核，综合评价，择优录取新生。</w:t>
      </w:r>
    </w:p>
    <w:p>
      <w:pPr>
        <w:pStyle w:val="25"/>
        <w:widowControl w:val="0"/>
        <w:spacing w:before="0" w:beforeAutospacing="0" w:after="0" w:afterAutospacing="0" w:line="540" w:lineRule="exact"/>
        <w:ind w:firstLine="640" w:firstLineChars="200"/>
        <w:jc w:val="both"/>
        <w:rPr>
          <w:rFonts w:hint="default" w:ascii="Times New Roman" w:hAnsi="Times New Roman" w:eastAsia="黑体"/>
          <w:bCs/>
          <w:color w:val="000000"/>
          <w:sz w:val="32"/>
          <w:szCs w:val="32"/>
        </w:rPr>
      </w:pPr>
      <w:r>
        <w:rPr>
          <w:rFonts w:hint="default" w:ascii="Times New Roman" w:hAnsi="Times New Roman" w:eastAsia="黑体"/>
          <w:bCs/>
          <w:color w:val="000000"/>
          <w:sz w:val="32"/>
          <w:szCs w:val="32"/>
        </w:rPr>
        <w:t>一、报名</w:t>
      </w:r>
    </w:p>
    <w:p>
      <w:pPr>
        <w:pStyle w:val="11"/>
        <w:widowControl w:val="0"/>
        <w:spacing w:before="0" w:beforeAutospacing="0" w:after="0" w:afterAutospacing="0" w:line="540" w:lineRule="exact"/>
        <w:ind w:firstLine="640" w:firstLineChars="200"/>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1.符合下列条件的我省户籍人员，可以申请报名：</w:t>
      </w:r>
    </w:p>
    <w:p>
      <w:pPr>
        <w:pStyle w:val="11"/>
        <w:widowControl w:val="0"/>
        <w:spacing w:before="0" w:beforeAutospacing="0" w:after="0" w:afterAutospacing="0" w:line="540" w:lineRule="exact"/>
        <w:ind w:firstLine="640" w:firstLineChars="200"/>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（1</w:t>
      </w:r>
      <w:r>
        <w:rPr>
          <w:rFonts w:ascii="Times New Roman" w:hAnsi="Times New Roman" w:eastAsia="仿宋_GB2312" w:cs="Times New Roman"/>
          <w:color w:val="000000"/>
          <w:sz w:val="32"/>
          <w:szCs w:val="32"/>
        </w:rPr>
        <w:t>）</w:t>
      </w:r>
      <w:r>
        <w:rPr>
          <w:rFonts w:ascii="Times New Roman" w:hAnsi="Times New Roman" w:eastAsia="仿宋_GB2312" w:cs="Times New Roman"/>
          <w:color w:val="000000"/>
          <w:kern w:val="2"/>
          <w:sz w:val="32"/>
          <w:szCs w:val="32"/>
        </w:rPr>
        <w:t>遵守中华人民共和国宪法和法律；</w:t>
      </w:r>
    </w:p>
    <w:p>
      <w:pPr>
        <w:pStyle w:val="11"/>
        <w:widowControl w:val="0"/>
        <w:spacing w:before="0" w:beforeAutospacing="0" w:after="0" w:afterAutospacing="0" w:line="540" w:lineRule="exact"/>
        <w:ind w:firstLine="640" w:firstLineChars="200"/>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（2</w:t>
      </w:r>
      <w:r>
        <w:rPr>
          <w:rFonts w:ascii="Times New Roman" w:hAnsi="Times New Roman" w:eastAsia="仿宋_GB2312" w:cs="Times New Roman"/>
          <w:color w:val="000000"/>
          <w:sz w:val="32"/>
          <w:szCs w:val="32"/>
        </w:rPr>
        <w:t>）</w:t>
      </w:r>
      <w:r>
        <w:rPr>
          <w:rFonts w:ascii="Times New Roman" w:hAnsi="Times New Roman" w:eastAsia="仿宋_GB2312" w:cs="Times New Roman"/>
          <w:color w:val="000000"/>
          <w:kern w:val="2"/>
          <w:sz w:val="32"/>
          <w:szCs w:val="32"/>
        </w:rPr>
        <w:t>高级中等教育学校毕业或具有同等学力；</w:t>
      </w:r>
    </w:p>
    <w:p>
      <w:pPr>
        <w:pStyle w:val="11"/>
        <w:widowControl w:val="0"/>
        <w:spacing w:before="0" w:beforeAutospacing="0" w:after="0" w:afterAutospacing="0" w:line="540" w:lineRule="exact"/>
        <w:ind w:firstLine="645"/>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（3）身体状况符合相关要求。</w:t>
      </w:r>
    </w:p>
    <w:p>
      <w:pPr>
        <w:pStyle w:val="11"/>
        <w:widowControl w:val="0"/>
        <w:spacing w:before="0" w:beforeAutospacing="0" w:after="0" w:afterAutospacing="0" w:line="540" w:lineRule="exact"/>
        <w:ind w:firstLine="640" w:firstLineChars="200"/>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非我省户籍的来苏务工就业人员随迁子女（以下简称随迁子女）申请在我省参加高考的，除符合上述条件外，还须同时具备以下条件：</w:t>
      </w:r>
    </w:p>
    <w:p>
      <w:pPr>
        <w:pStyle w:val="11"/>
        <w:widowControl w:val="0"/>
        <w:spacing w:before="0" w:beforeAutospacing="0" w:after="0" w:afterAutospacing="0" w:line="540" w:lineRule="exact"/>
        <w:ind w:firstLine="640" w:firstLineChars="200"/>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（1）</w:t>
      </w:r>
      <w:r>
        <w:rPr>
          <w:rFonts w:ascii="Times New Roman" w:hAnsi="Times New Roman" w:eastAsia="仿宋_GB2312" w:cs="Times New Roman"/>
          <w:color w:val="000000"/>
          <w:spacing w:val="-2"/>
          <w:kern w:val="2"/>
          <w:sz w:val="32"/>
          <w:szCs w:val="32"/>
        </w:rPr>
        <w:t>在我省取得普通高中学籍并有完整的普通高中学习经历；</w:t>
      </w:r>
    </w:p>
    <w:p>
      <w:pPr>
        <w:pStyle w:val="11"/>
        <w:widowControl w:val="0"/>
        <w:spacing w:before="0" w:beforeAutospacing="0" w:after="0" w:afterAutospacing="0" w:line="540" w:lineRule="exact"/>
        <w:ind w:firstLine="640" w:firstLineChars="200"/>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（2）其监护人在我省有合法稳定职业、合法稳定住所（含租赁）。</w:t>
      </w:r>
    </w:p>
    <w:p>
      <w:pPr>
        <w:pStyle w:val="11"/>
        <w:widowControl w:val="0"/>
        <w:spacing w:before="0" w:beforeAutospacing="0" w:after="0" w:afterAutospacing="0" w:line="540" w:lineRule="exact"/>
        <w:ind w:firstLine="640" w:firstLineChars="200"/>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sz w:val="32"/>
          <w:szCs w:val="32"/>
        </w:rPr>
        <w:t>在我省定居并符合报名条件的外国人，持</w:t>
      </w:r>
      <w:r>
        <w:rPr>
          <w:rFonts w:ascii="Times New Roman" w:hAnsi="Times New Roman" w:eastAsia="仿宋_GB2312" w:cs="Times New Roman"/>
          <w:color w:val="000000"/>
          <w:kern w:val="2"/>
          <w:sz w:val="32"/>
          <w:szCs w:val="32"/>
        </w:rPr>
        <w:t>公安机关签发的《中华人民共和国外国人永久居留身份证》，可以申请报名。</w:t>
      </w:r>
      <w:r>
        <w:rPr>
          <w:rFonts w:ascii="Times New Roman" w:hAnsi="Times New Roman" w:eastAsia="仿宋_GB2312" w:cs="Times New Roman"/>
          <w:color w:val="000000"/>
          <w:sz w:val="32"/>
          <w:szCs w:val="32"/>
        </w:rPr>
        <w:t>符合条件的港澳台籍考生可以申请报名。</w:t>
      </w:r>
    </w:p>
    <w:p>
      <w:pPr>
        <w:pStyle w:val="11"/>
        <w:widowControl w:val="0"/>
        <w:spacing w:before="0" w:beforeAutospacing="0" w:after="0" w:afterAutospacing="0" w:line="540" w:lineRule="exact"/>
        <w:ind w:firstLine="640" w:firstLineChars="200"/>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2.下列人员不得报名：</w:t>
      </w:r>
    </w:p>
    <w:p>
      <w:pPr>
        <w:pStyle w:val="11"/>
        <w:widowControl w:val="0"/>
        <w:spacing w:before="0" w:beforeAutospacing="0" w:after="0" w:afterAutospacing="0" w:line="540" w:lineRule="exact"/>
        <w:ind w:firstLine="640" w:firstLineChars="200"/>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（1）</w:t>
      </w:r>
      <w:bookmarkStart w:id="0" w:name="_Hlk68855216"/>
      <w:r>
        <w:rPr>
          <w:rFonts w:ascii="Times New Roman" w:hAnsi="Times New Roman" w:eastAsia="仿宋_GB2312" w:cs="Times New Roman"/>
          <w:color w:val="000000"/>
          <w:kern w:val="2"/>
          <w:sz w:val="32"/>
          <w:szCs w:val="32"/>
        </w:rPr>
        <w:t>具有普通高等学历教育资格的高校在校生，或已被普通高校录取并保留入学资格的学生</w:t>
      </w:r>
      <w:bookmarkEnd w:id="0"/>
      <w:r>
        <w:rPr>
          <w:rFonts w:ascii="Times New Roman" w:hAnsi="Times New Roman" w:eastAsia="仿宋_GB2312" w:cs="Times New Roman"/>
          <w:color w:val="000000"/>
          <w:kern w:val="2"/>
          <w:sz w:val="32"/>
          <w:szCs w:val="32"/>
        </w:rPr>
        <w:t>；</w:t>
      </w:r>
    </w:p>
    <w:p>
      <w:pPr>
        <w:pStyle w:val="11"/>
        <w:widowControl w:val="0"/>
        <w:spacing w:before="0" w:beforeAutospacing="0" w:after="0" w:afterAutospacing="0" w:line="540" w:lineRule="exact"/>
        <w:ind w:firstLine="640" w:firstLineChars="200"/>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（2</w:t>
      </w:r>
      <w:r>
        <w:rPr>
          <w:rFonts w:ascii="Times New Roman" w:hAnsi="Times New Roman" w:eastAsia="仿宋_GB2312" w:cs="Times New Roman"/>
          <w:color w:val="000000"/>
          <w:sz w:val="32"/>
          <w:szCs w:val="32"/>
        </w:rPr>
        <w:t>）</w:t>
      </w:r>
      <w:r>
        <w:rPr>
          <w:rFonts w:ascii="Times New Roman" w:hAnsi="Times New Roman" w:eastAsia="仿宋_GB2312" w:cs="Times New Roman"/>
          <w:color w:val="000000"/>
          <w:kern w:val="2"/>
          <w:sz w:val="32"/>
          <w:szCs w:val="32"/>
        </w:rPr>
        <w:t>高级中等教育学校非应届毕业的在校生；</w:t>
      </w:r>
    </w:p>
    <w:p>
      <w:pPr>
        <w:spacing w:line="540" w:lineRule="exact"/>
        <w:ind w:firstLine="640" w:firstLineChars="200"/>
        <w:rPr>
          <w:rFonts w:eastAsia="仿宋_GB2312"/>
          <w:color w:val="000000"/>
          <w:sz w:val="32"/>
          <w:szCs w:val="32"/>
        </w:rPr>
      </w:pPr>
      <w:r>
        <w:rPr>
          <w:rFonts w:eastAsia="仿宋_GB2312"/>
          <w:color w:val="000000"/>
          <w:sz w:val="32"/>
          <w:szCs w:val="32"/>
        </w:rPr>
        <w:t>（3）在高级中等教育阶段非应届毕业年份以弄虚作假手段报名并违规参加普通高校招生考试（包括全国统考、省级统考和高校单独组织的招生考试，以下简称高考）的应届毕业生；</w:t>
      </w:r>
    </w:p>
    <w:p>
      <w:pPr>
        <w:spacing w:line="540" w:lineRule="exact"/>
        <w:ind w:firstLine="660"/>
        <w:rPr>
          <w:rFonts w:eastAsia="仿宋_GB2312"/>
          <w:color w:val="000000"/>
          <w:sz w:val="32"/>
          <w:szCs w:val="32"/>
        </w:rPr>
      </w:pPr>
      <w:r>
        <w:rPr>
          <w:rFonts w:eastAsia="仿宋_GB2312"/>
          <w:color w:val="000000"/>
          <w:sz w:val="32"/>
          <w:szCs w:val="32"/>
        </w:rPr>
        <w:t>（4）因违反国家教育考试规定，被给予暂停参加高考处理且在停考期内的人员；</w:t>
      </w:r>
    </w:p>
    <w:p>
      <w:pPr>
        <w:spacing w:line="540" w:lineRule="exact"/>
        <w:ind w:firstLine="153" w:firstLineChars="48"/>
        <w:rPr>
          <w:rFonts w:eastAsia="仿宋_GB2312"/>
          <w:color w:val="000000"/>
          <w:sz w:val="32"/>
          <w:szCs w:val="32"/>
        </w:rPr>
      </w:pPr>
      <w:r>
        <w:rPr>
          <w:rFonts w:eastAsia="仿宋_GB2312"/>
          <w:color w:val="000000"/>
          <w:sz w:val="32"/>
          <w:szCs w:val="32"/>
        </w:rPr>
        <w:t>　　（5）因触犯刑法已被有关部门采取强制措施或正在服刑者，其中，未成年人按相关法律规定执行。</w:t>
      </w:r>
    </w:p>
    <w:p>
      <w:pPr>
        <w:pStyle w:val="11"/>
        <w:widowControl w:val="0"/>
        <w:spacing w:before="0" w:beforeAutospacing="0" w:after="0" w:afterAutospacing="0" w:line="540" w:lineRule="exact"/>
        <w:ind w:firstLine="646"/>
        <w:jc w:val="both"/>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3.报名办法</w:t>
      </w:r>
    </w:p>
    <w:p>
      <w:pPr>
        <w:pStyle w:val="11"/>
        <w:widowControl w:val="0"/>
        <w:spacing w:before="0" w:beforeAutospacing="0" w:after="0" w:afterAutospacing="0" w:line="540" w:lineRule="exact"/>
        <w:ind w:firstLine="646"/>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请报考高校的所有考生，按照《省教育考试院关于印发江苏省2023年普通高校招生考试和普通高中学业水平合格性考试报名办法的通知》（苏教考招〔2022〕43号）要求，办理报名手续。随迁子女不得在我省和户籍地同时参加高考报名。符合报名条件的所有考生均须签订诚信考试承诺书，并按规定缴纳报名、考试费。</w:t>
      </w:r>
    </w:p>
    <w:p>
      <w:pPr>
        <w:spacing w:line="540" w:lineRule="exact"/>
        <w:ind w:firstLine="640" w:firstLineChars="200"/>
        <w:rPr>
          <w:rFonts w:eastAsia="仿宋_GB2312"/>
          <w:color w:val="000000"/>
          <w:sz w:val="32"/>
          <w:szCs w:val="32"/>
        </w:rPr>
      </w:pPr>
      <w:r>
        <w:rPr>
          <w:rFonts w:eastAsia="仿宋_GB2312"/>
          <w:color w:val="000000"/>
          <w:sz w:val="32"/>
          <w:szCs w:val="32"/>
        </w:rPr>
        <w:t>考生报名资格审查工作由各级教育行政部门和招生委员会办公室（含考试院、招考中心等，以下统称为招办）负责。各有关单位要严格审核考生报名资格，尤其针对特殊类型招生，要严格报考条件，加强资格审核和复验工作；坚决杜绝高中在读的非应届毕业生报考以及不符合报考条件的非我省户籍考生在我省报考（教育部规定的少数招生类型除外）。</w:t>
      </w:r>
    </w:p>
    <w:p>
      <w:pPr>
        <w:pStyle w:val="11"/>
        <w:widowControl w:val="0"/>
        <w:spacing w:before="0" w:beforeAutospacing="0" w:after="0" w:afterAutospacing="0" w:line="540" w:lineRule="exact"/>
        <w:ind w:firstLine="646"/>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考生的报考科类分为普通类、体育类和艺术类。考生办理报名手续后，方可参加普通高校招生各类考试。</w:t>
      </w:r>
    </w:p>
    <w:p>
      <w:pPr>
        <w:pStyle w:val="25"/>
        <w:widowControl w:val="0"/>
        <w:spacing w:before="0" w:beforeAutospacing="0" w:after="0" w:afterAutospacing="0" w:line="540" w:lineRule="exact"/>
        <w:ind w:firstLine="640" w:firstLineChars="200"/>
        <w:jc w:val="both"/>
        <w:rPr>
          <w:rFonts w:hint="default" w:ascii="Times New Roman" w:hAnsi="Times New Roman" w:eastAsia="黑体"/>
          <w:bCs/>
          <w:color w:val="000000"/>
          <w:sz w:val="32"/>
          <w:szCs w:val="32"/>
        </w:rPr>
      </w:pPr>
      <w:r>
        <w:rPr>
          <w:rFonts w:hint="default" w:ascii="Times New Roman" w:hAnsi="Times New Roman" w:eastAsia="黑体"/>
          <w:bCs/>
          <w:color w:val="000000"/>
          <w:sz w:val="32"/>
          <w:szCs w:val="32"/>
        </w:rPr>
        <w:t>二、考生档案的建立和移交</w:t>
      </w:r>
    </w:p>
    <w:p>
      <w:pPr>
        <w:pStyle w:val="25"/>
        <w:widowControl w:val="0"/>
        <w:spacing w:before="0" w:beforeAutospacing="0" w:after="0" w:afterAutospacing="0" w:line="540" w:lineRule="exact"/>
        <w:ind w:firstLine="640" w:firstLineChars="200"/>
        <w:jc w:val="both"/>
        <w:rPr>
          <w:rFonts w:hint="default" w:ascii="Times New Roman" w:hAnsi="Times New Roman" w:eastAsia="仿宋_GB2312"/>
          <w:color w:val="000000"/>
          <w:kern w:val="2"/>
          <w:sz w:val="32"/>
          <w:szCs w:val="32"/>
        </w:rPr>
      </w:pPr>
      <w:r>
        <w:rPr>
          <w:rFonts w:hint="default" w:ascii="Times New Roman" w:hAnsi="Times New Roman" w:eastAsia="仿宋_GB2312"/>
          <w:color w:val="000000"/>
          <w:kern w:val="2"/>
          <w:sz w:val="32"/>
          <w:szCs w:val="32"/>
        </w:rPr>
        <w:t>考生档案由电子档案和纸质档案组成。</w:t>
      </w:r>
    </w:p>
    <w:p>
      <w:pPr>
        <w:spacing w:line="540" w:lineRule="exact"/>
        <w:ind w:firstLine="672" w:firstLineChars="210"/>
        <w:rPr>
          <w:rFonts w:eastAsia="仿宋_GB2312"/>
          <w:color w:val="000000"/>
          <w:spacing w:val="-2"/>
          <w:sz w:val="32"/>
          <w:szCs w:val="32"/>
        </w:rPr>
      </w:pPr>
      <w:r>
        <w:rPr>
          <w:rFonts w:eastAsia="仿宋_GB2312"/>
          <w:color w:val="000000"/>
          <w:sz w:val="32"/>
          <w:szCs w:val="32"/>
        </w:rPr>
        <w:t>1.</w:t>
      </w:r>
      <w:r>
        <w:rPr>
          <w:rFonts w:eastAsia="仿宋_GB2312"/>
          <w:color w:val="000000"/>
          <w:spacing w:val="-2"/>
          <w:sz w:val="32"/>
          <w:szCs w:val="32"/>
        </w:rPr>
        <w:t>考生电子档案是高校录取新生的主要依据。电子档案内容主要包括考生基本信息、思想政治品德考核鉴定或评语、高中学业水平考试成绩和反映学生综合素质的材料、体检信息、志愿信息、高考成绩信息和考生参加高校招生考试的诚信记录（主要指招生考试过程中违规的简要事实及处理结果）等内容，</w:t>
      </w:r>
      <w:r>
        <w:rPr>
          <w:rFonts w:eastAsia="仿宋_GB2312"/>
          <w:color w:val="000000"/>
          <w:sz w:val="32"/>
          <w:szCs w:val="32"/>
        </w:rPr>
        <w:t>要确保数据真实准确、图像规范</w:t>
      </w:r>
      <w:r>
        <w:rPr>
          <w:rFonts w:eastAsia="仿宋_GB2312"/>
          <w:color w:val="000000"/>
          <w:spacing w:val="-2"/>
          <w:sz w:val="32"/>
          <w:szCs w:val="32"/>
        </w:rPr>
        <w:t>。考生应认真填写本人的高考报名表、志愿表等，并认真核对，对其真实性和准确性负责。因考生本人填报失误或不按规定要求和时间填报信息而对考生录取产生的不利影响，由考生本人负责。</w:t>
      </w:r>
    </w:p>
    <w:p>
      <w:pPr>
        <w:spacing w:line="540" w:lineRule="exact"/>
        <w:ind w:firstLine="672" w:firstLineChars="210"/>
        <w:rPr>
          <w:rFonts w:eastAsia="仿宋_GB2312"/>
          <w:color w:val="000000"/>
          <w:sz w:val="32"/>
          <w:szCs w:val="32"/>
        </w:rPr>
      </w:pPr>
      <w:r>
        <w:rPr>
          <w:rFonts w:eastAsia="仿宋_GB2312"/>
          <w:color w:val="000000"/>
          <w:sz w:val="32"/>
          <w:szCs w:val="32"/>
        </w:rPr>
        <w:t>2.考生电子档案的建立与管理按照《省教育考试院关于印发江苏省普通高校招生考生电子档案信息采集及管理办法的通知》（苏教考招〔2008〕51号）的有关规定执行。</w:t>
      </w:r>
    </w:p>
    <w:p>
      <w:pPr>
        <w:spacing w:line="540" w:lineRule="exact"/>
        <w:ind w:firstLine="672" w:firstLineChars="210"/>
        <w:rPr>
          <w:rFonts w:eastAsia="仿宋_GB2312"/>
          <w:color w:val="000000"/>
          <w:sz w:val="32"/>
          <w:szCs w:val="32"/>
        </w:rPr>
      </w:pPr>
      <w:r>
        <w:rPr>
          <w:rFonts w:eastAsia="仿宋_GB2312"/>
          <w:color w:val="000000"/>
          <w:sz w:val="32"/>
          <w:szCs w:val="32"/>
        </w:rPr>
        <w:t>考生电子档案由省教育考试院、各级招办和有关中学负责建立。考生电子档案一经建立，任何人不得擅自更改。</w:t>
      </w:r>
    </w:p>
    <w:p>
      <w:pPr>
        <w:pStyle w:val="25"/>
        <w:widowControl w:val="0"/>
        <w:spacing w:before="0" w:beforeAutospacing="0" w:after="0" w:afterAutospacing="0" w:line="540" w:lineRule="exact"/>
        <w:ind w:firstLine="640" w:firstLineChars="200"/>
        <w:jc w:val="both"/>
        <w:rPr>
          <w:rFonts w:hint="default" w:ascii="Times New Roman" w:hAnsi="Times New Roman" w:eastAsia="仿宋_GB2312"/>
          <w:color w:val="000000"/>
          <w:kern w:val="2"/>
          <w:sz w:val="32"/>
          <w:szCs w:val="32"/>
        </w:rPr>
      </w:pPr>
      <w:r>
        <w:rPr>
          <w:rFonts w:hint="default" w:ascii="Times New Roman" w:hAnsi="Times New Roman" w:eastAsia="仿宋_GB2312"/>
          <w:color w:val="000000"/>
          <w:kern w:val="2"/>
          <w:sz w:val="32"/>
          <w:szCs w:val="32"/>
        </w:rPr>
        <w:t>3.考生纸质档案的建立与管理按照省招委会、省教育厅《关于下发〈江苏省普通高校招生考生档案移交工作的暂行规定〉的通知》（苏招委〔2001〕8号）的有关规定执行。</w:t>
      </w:r>
    </w:p>
    <w:p>
      <w:pPr>
        <w:pStyle w:val="25"/>
        <w:widowControl w:val="0"/>
        <w:spacing w:before="0" w:beforeAutospacing="0" w:after="0" w:afterAutospacing="0" w:line="540" w:lineRule="exact"/>
        <w:ind w:firstLine="640" w:firstLineChars="200"/>
        <w:jc w:val="both"/>
        <w:rPr>
          <w:rFonts w:hint="default" w:ascii="Times New Roman" w:hAnsi="Times New Roman" w:eastAsia="仿宋_GB2312"/>
          <w:color w:val="000000"/>
          <w:kern w:val="2"/>
          <w:sz w:val="32"/>
          <w:szCs w:val="32"/>
        </w:rPr>
      </w:pPr>
      <w:r>
        <w:rPr>
          <w:rFonts w:hint="default" w:ascii="Times New Roman" w:hAnsi="Times New Roman" w:eastAsia="仿宋_GB2312"/>
          <w:color w:val="000000"/>
          <w:kern w:val="2"/>
          <w:sz w:val="32"/>
          <w:szCs w:val="32"/>
        </w:rPr>
        <w:t>有关</w:t>
      </w:r>
      <w:r>
        <w:rPr>
          <w:rFonts w:hint="default" w:ascii="Times New Roman" w:hAnsi="Times New Roman" w:eastAsia="仿宋_GB2312"/>
          <w:color w:val="000000"/>
          <w:sz w:val="32"/>
          <w:szCs w:val="32"/>
        </w:rPr>
        <w:t>中学要加强考生档案建立与管理，并对毕业生纸质档案客观真实性负责。对弄虚作假的，一经发现，严肃追责问责。</w:t>
      </w:r>
    </w:p>
    <w:p>
      <w:pPr>
        <w:spacing w:line="540" w:lineRule="exact"/>
        <w:ind w:firstLine="672" w:firstLineChars="210"/>
        <w:rPr>
          <w:rFonts w:eastAsia="仿宋_GB2312"/>
          <w:bCs/>
          <w:color w:val="000000"/>
          <w:sz w:val="32"/>
          <w:szCs w:val="32"/>
        </w:rPr>
      </w:pPr>
      <w:r>
        <w:rPr>
          <w:rFonts w:eastAsia="仿宋_GB2312"/>
          <w:color w:val="000000"/>
          <w:sz w:val="32"/>
          <w:szCs w:val="32"/>
        </w:rPr>
        <w:t>考生被高校录取后，凭录取通知书到所在学校或单位领取经密封的个人纸质档案材料，报到时移交给高校。各地招办和有关中学应主动联系考生，督促被录取的考生办理纸质档案材料的领取和移交手续。</w:t>
      </w:r>
      <w:r>
        <w:rPr>
          <w:rFonts w:eastAsia="仿宋_GB2312"/>
          <w:bCs/>
          <w:color w:val="000000"/>
          <w:sz w:val="32"/>
          <w:szCs w:val="32"/>
        </w:rPr>
        <w:t>已录取考生的报名登记表、体检表、志愿表等信息，由高校从本校录取库中将考生电子档案中的有关信息直接打印成纸质材料，并加盖学校公章，与其他纸质档案一起存入考生个人档案。</w:t>
      </w:r>
    </w:p>
    <w:p>
      <w:pPr>
        <w:pStyle w:val="25"/>
        <w:widowControl w:val="0"/>
        <w:spacing w:before="0" w:beforeAutospacing="0" w:after="0" w:afterAutospacing="0" w:line="540" w:lineRule="exact"/>
        <w:ind w:firstLine="640" w:firstLineChars="200"/>
        <w:jc w:val="both"/>
        <w:rPr>
          <w:rFonts w:hint="default" w:ascii="Times New Roman" w:hAnsi="Times New Roman" w:eastAsia="黑体"/>
          <w:bCs/>
          <w:color w:val="000000"/>
          <w:sz w:val="32"/>
          <w:szCs w:val="32"/>
        </w:rPr>
      </w:pPr>
      <w:r>
        <w:rPr>
          <w:rFonts w:hint="default" w:ascii="Times New Roman" w:hAnsi="Times New Roman" w:eastAsia="黑体"/>
          <w:bCs/>
          <w:color w:val="000000"/>
          <w:sz w:val="32"/>
          <w:szCs w:val="32"/>
        </w:rPr>
        <w:t>三、</w:t>
      </w:r>
      <w:bookmarkStart w:id="1" w:name="_Hlk68857737"/>
      <w:r>
        <w:rPr>
          <w:rFonts w:hint="default" w:ascii="Times New Roman" w:hAnsi="Times New Roman" w:eastAsia="黑体"/>
          <w:bCs/>
          <w:color w:val="000000"/>
          <w:sz w:val="32"/>
          <w:szCs w:val="32"/>
        </w:rPr>
        <w:t>思想政治品德考核</w:t>
      </w:r>
      <w:bookmarkEnd w:id="1"/>
    </w:p>
    <w:p>
      <w:pPr>
        <w:spacing w:line="540" w:lineRule="exact"/>
        <w:ind w:firstLine="672" w:firstLineChars="210"/>
        <w:rPr>
          <w:rFonts w:eastAsia="仿宋_GB2312"/>
          <w:color w:val="000000"/>
          <w:sz w:val="32"/>
          <w:szCs w:val="32"/>
        </w:rPr>
      </w:pPr>
      <w:r>
        <w:rPr>
          <w:rFonts w:eastAsia="仿宋_GB2312"/>
          <w:color w:val="000000"/>
          <w:sz w:val="32"/>
          <w:szCs w:val="32"/>
        </w:rPr>
        <w:t>1.思想政治品德考核主要是考核考生本人的现实表现。</w:t>
      </w:r>
    </w:p>
    <w:p>
      <w:pPr>
        <w:spacing w:line="540" w:lineRule="exact"/>
        <w:ind w:firstLine="672" w:firstLineChars="210"/>
        <w:rPr>
          <w:rFonts w:eastAsia="仿宋_GB2312"/>
          <w:color w:val="000000"/>
          <w:sz w:val="32"/>
          <w:szCs w:val="32"/>
        </w:rPr>
      </w:pPr>
      <w:r>
        <w:rPr>
          <w:rFonts w:eastAsia="仿宋_GB2312"/>
          <w:color w:val="000000"/>
          <w:sz w:val="32"/>
          <w:szCs w:val="32"/>
        </w:rPr>
        <w:t>应届毕业生的思想政治品德考核，可与综合素质评价工作结合进行。</w:t>
      </w:r>
    </w:p>
    <w:p>
      <w:pPr>
        <w:spacing w:line="540" w:lineRule="exact"/>
        <w:ind w:firstLine="672" w:firstLineChars="210"/>
        <w:rPr>
          <w:rFonts w:eastAsia="仿宋_GB2312"/>
          <w:color w:val="000000"/>
          <w:sz w:val="32"/>
          <w:szCs w:val="32"/>
        </w:rPr>
      </w:pPr>
      <w:r>
        <w:rPr>
          <w:rFonts w:eastAsia="仿宋_GB2312"/>
          <w:color w:val="000000"/>
          <w:sz w:val="32"/>
          <w:szCs w:val="32"/>
        </w:rPr>
        <w:t>考生所在学校或单位应对考生的政治态度、思想品德作出全面鉴定，并对其真实性负责。无就读学校或工作单位的考生原则上由所属的乡镇、街道办事处鉴定，鉴定内容应完整、准确。</w:t>
      </w:r>
    </w:p>
    <w:p>
      <w:pPr>
        <w:spacing w:line="540" w:lineRule="exact"/>
        <w:ind w:firstLine="672" w:firstLineChars="210"/>
        <w:rPr>
          <w:rFonts w:eastAsia="仿宋_GB2312"/>
          <w:color w:val="000000"/>
          <w:sz w:val="32"/>
          <w:szCs w:val="32"/>
        </w:rPr>
      </w:pPr>
      <w:r>
        <w:rPr>
          <w:rFonts w:eastAsia="仿宋_GB2312"/>
          <w:color w:val="000000"/>
          <w:sz w:val="32"/>
          <w:szCs w:val="32"/>
        </w:rPr>
        <w:t>2.考生有下列情形之一且未能提供对错误的认识及改正错误的现实表现等证明材料的，应认定为思想政治品德考核不合格：</w:t>
      </w:r>
    </w:p>
    <w:p>
      <w:pPr>
        <w:spacing w:line="540" w:lineRule="exact"/>
        <w:ind w:firstLine="672" w:firstLineChars="210"/>
        <w:rPr>
          <w:rFonts w:eastAsia="仿宋_GB2312"/>
          <w:color w:val="000000"/>
          <w:sz w:val="32"/>
          <w:szCs w:val="32"/>
        </w:rPr>
      </w:pPr>
      <w:r>
        <w:rPr>
          <w:rFonts w:eastAsia="仿宋_GB2312"/>
          <w:color w:val="000000"/>
          <w:sz w:val="32"/>
          <w:szCs w:val="32"/>
        </w:rPr>
        <w:t>（1）有反对宪法所确定的基本原则的言行或参加邪教组织，情节严重的；</w:t>
      </w:r>
    </w:p>
    <w:p>
      <w:pPr>
        <w:spacing w:line="540" w:lineRule="exact"/>
        <w:ind w:firstLine="672" w:firstLineChars="210"/>
        <w:rPr>
          <w:rFonts w:eastAsia="仿宋_GB2312"/>
          <w:color w:val="000000"/>
          <w:sz w:val="32"/>
          <w:szCs w:val="32"/>
        </w:rPr>
      </w:pPr>
      <w:r>
        <w:rPr>
          <w:rFonts w:eastAsia="仿宋_GB2312"/>
          <w:color w:val="000000"/>
          <w:sz w:val="32"/>
          <w:szCs w:val="32"/>
        </w:rPr>
        <w:t>（2）触犯刑法、治安管理处罚法，受到刑事处罚或治安管理处罚且情节严重、性质恶劣，尚在处罚期内的。</w:t>
      </w:r>
    </w:p>
    <w:p>
      <w:pPr>
        <w:pStyle w:val="25"/>
        <w:widowControl w:val="0"/>
        <w:spacing w:before="0" w:beforeAutospacing="0" w:after="0" w:afterAutospacing="0" w:line="540" w:lineRule="exact"/>
        <w:ind w:firstLine="640" w:firstLineChars="200"/>
        <w:jc w:val="both"/>
        <w:rPr>
          <w:rFonts w:hint="default" w:ascii="Times New Roman" w:hAnsi="Times New Roman" w:eastAsia="黑体"/>
          <w:bCs/>
          <w:color w:val="000000"/>
          <w:sz w:val="32"/>
          <w:szCs w:val="32"/>
        </w:rPr>
      </w:pPr>
      <w:r>
        <w:rPr>
          <w:rFonts w:hint="default" w:ascii="Times New Roman" w:hAnsi="Times New Roman" w:eastAsia="黑体"/>
          <w:bCs/>
          <w:color w:val="000000"/>
          <w:sz w:val="32"/>
          <w:szCs w:val="32"/>
        </w:rPr>
        <w:t>四、身体健康状况检查</w:t>
      </w:r>
    </w:p>
    <w:p>
      <w:pPr>
        <w:spacing w:line="540" w:lineRule="exact"/>
        <w:ind w:firstLine="640" w:firstLineChars="200"/>
        <w:rPr>
          <w:rFonts w:eastAsia="仿宋_GB2312"/>
          <w:color w:val="000000"/>
          <w:sz w:val="32"/>
          <w:szCs w:val="32"/>
        </w:rPr>
      </w:pPr>
      <w:r>
        <w:rPr>
          <w:rFonts w:eastAsia="仿宋_GB2312"/>
          <w:color w:val="000000"/>
          <w:sz w:val="32"/>
          <w:szCs w:val="32"/>
        </w:rPr>
        <w:t>报考高校的所有考生均须参加身体健康状况检查（以下简称体检），如实填写本人的既往病史。考生如因身体等特殊原因无法参加特定项目检查时，须出具体检医院相应材料。</w:t>
      </w:r>
    </w:p>
    <w:p>
      <w:pPr>
        <w:spacing w:line="540" w:lineRule="exact"/>
        <w:ind w:firstLine="640" w:firstLineChars="200"/>
        <w:rPr>
          <w:rFonts w:eastAsia="仿宋_GB2312"/>
          <w:color w:val="000000"/>
          <w:sz w:val="32"/>
          <w:szCs w:val="32"/>
        </w:rPr>
      </w:pPr>
      <w:r>
        <w:rPr>
          <w:rFonts w:eastAsia="仿宋_GB2312"/>
          <w:color w:val="000000"/>
          <w:sz w:val="32"/>
          <w:szCs w:val="32"/>
        </w:rPr>
        <w:t>考生的体检工作须按教育部、原卫生部、中国残疾人联合会印发的《普通高等学校招生体检工作指导意见》（教学〔2003〕3号）及人力资源和社会保障部、教育部、原卫生部《关于进一步规范入学和就业体检项目维护乙肝表面抗原携带者入学和就业权利的通知》（人社部发〔2010〕12号）和《省教育考试院关于做好2023年普通高校招生体检工作的通知》（苏教考招〔2022〕48号）的有关规定执行。体检工作由县级（含）以上招办和卫生健康行政部门组织实施，须在指定的二级甲等（含）以上医院或相应的医疗单位进行。各体检机构须按照有关规定，对考生体检作出相应的、规范准确的结论，并对其真实性负责。非指定的医疗机构为考生作出的体检结论无效。</w:t>
      </w:r>
    </w:p>
    <w:p>
      <w:pPr>
        <w:pStyle w:val="25"/>
        <w:widowControl w:val="0"/>
        <w:spacing w:before="0" w:beforeAutospacing="0" w:after="0" w:afterAutospacing="0" w:line="540" w:lineRule="exact"/>
        <w:ind w:firstLine="640" w:firstLineChars="200"/>
        <w:jc w:val="both"/>
        <w:rPr>
          <w:rFonts w:hint="default" w:ascii="Times New Roman" w:hAnsi="Times New Roman" w:eastAsia="黑体"/>
          <w:bCs/>
          <w:color w:val="000000"/>
          <w:sz w:val="32"/>
          <w:szCs w:val="32"/>
        </w:rPr>
      </w:pPr>
      <w:r>
        <w:rPr>
          <w:rFonts w:hint="default" w:ascii="Times New Roman" w:hAnsi="Times New Roman" w:eastAsia="黑体"/>
          <w:bCs/>
          <w:color w:val="000000"/>
          <w:sz w:val="32"/>
          <w:szCs w:val="32"/>
        </w:rPr>
        <w:t>五、命题</w:t>
      </w:r>
    </w:p>
    <w:p>
      <w:pPr>
        <w:spacing w:line="540" w:lineRule="exact"/>
        <w:ind w:firstLine="672" w:firstLineChars="210"/>
        <w:rPr>
          <w:rFonts w:eastAsia="仿宋_GB2312"/>
          <w:color w:val="000000"/>
          <w:sz w:val="32"/>
          <w:szCs w:val="32"/>
        </w:rPr>
      </w:pPr>
      <w:r>
        <w:rPr>
          <w:rFonts w:eastAsia="仿宋_GB2312"/>
          <w:color w:val="000000"/>
          <w:sz w:val="32"/>
          <w:szCs w:val="32"/>
        </w:rPr>
        <w:t>语文、数学、外语三门科目使用全国卷，由教育部教育考试院负责命题；普通高中学业水平考试科目由我省负责命题。命题要坚持以习近平新时代中国特色社会主义思想为指导，全面贯彻党的教育方针，落实立德树人根本任务，</w:t>
      </w:r>
      <w:r>
        <w:rPr>
          <w:rFonts w:eastAsia="仿宋_GB2312"/>
          <w:sz w:val="32"/>
          <w:szCs w:val="32"/>
        </w:rPr>
        <w:t>服务人才培养质量提升和现代化建设人才选拔，</w:t>
      </w:r>
      <w:r>
        <w:rPr>
          <w:rFonts w:eastAsia="仿宋_GB2312"/>
          <w:color w:val="000000"/>
          <w:sz w:val="32"/>
          <w:szCs w:val="32"/>
        </w:rPr>
        <w:t>引导学生德智体美劳全面发展。高考命题要依据高校人才选拔要求和国家课程标准，体现基础性、综合性、应用性和创新性，注重考查关键能力、学科素养和思维品质，注重考查学生对所学知识的融会贯通和灵活运用，引导减少死记硬背和“机械刷题”现象。要加强国家教育考试工作队伍建设，完善教师参与命题工作的激励和保障机制，提升国家教育考试命题能力和水平。</w:t>
      </w:r>
    </w:p>
    <w:p>
      <w:pPr>
        <w:pStyle w:val="25"/>
        <w:widowControl w:val="0"/>
        <w:spacing w:before="0" w:beforeAutospacing="0" w:after="0" w:afterAutospacing="0" w:line="540" w:lineRule="exact"/>
        <w:ind w:firstLine="640" w:firstLineChars="200"/>
        <w:jc w:val="both"/>
        <w:rPr>
          <w:rFonts w:hint="default" w:ascii="Times New Roman" w:hAnsi="Times New Roman" w:eastAsia="黑体"/>
          <w:bCs/>
          <w:color w:val="000000"/>
          <w:sz w:val="32"/>
          <w:szCs w:val="32"/>
        </w:rPr>
      </w:pPr>
      <w:r>
        <w:rPr>
          <w:rFonts w:hint="default" w:ascii="Times New Roman" w:hAnsi="Times New Roman" w:eastAsia="黑体"/>
          <w:bCs/>
          <w:color w:val="000000"/>
          <w:sz w:val="32"/>
          <w:szCs w:val="32"/>
        </w:rPr>
        <w:t>六、考试</w:t>
      </w:r>
    </w:p>
    <w:p>
      <w:pPr>
        <w:pStyle w:val="25"/>
        <w:widowControl w:val="0"/>
        <w:spacing w:before="0" w:beforeAutospacing="0" w:after="0" w:afterAutospacing="0" w:line="540" w:lineRule="exact"/>
        <w:ind w:firstLine="640" w:firstLineChars="200"/>
        <w:jc w:val="both"/>
        <w:rPr>
          <w:rFonts w:hint="default" w:ascii="Times New Roman" w:hAnsi="Times New Roman" w:eastAsia="仿宋_GB2312"/>
          <w:color w:val="000000"/>
          <w:kern w:val="2"/>
          <w:sz w:val="32"/>
          <w:szCs w:val="32"/>
        </w:rPr>
      </w:pPr>
      <w:r>
        <w:rPr>
          <w:rFonts w:hint="default" w:ascii="Times New Roman" w:hAnsi="Times New Roman" w:eastAsia="仿宋_GB2312"/>
          <w:color w:val="000000"/>
          <w:kern w:val="2"/>
          <w:sz w:val="32"/>
          <w:szCs w:val="32"/>
        </w:rPr>
        <w:t>（一）根据《江苏省深化普通高校考试招生制度综合改革实施方案》，我省高考实行“3+1+2”模式</w:t>
      </w:r>
      <w:r>
        <w:rPr>
          <w:rFonts w:hint="default" w:ascii="Times New Roman" w:hAnsi="Times New Roman" w:eastAsia="仿宋_GB2312"/>
          <w:color w:val="000000"/>
          <w:sz w:val="32"/>
          <w:szCs w:val="32"/>
        </w:rPr>
        <w:t>，包括语文、数学、外语3门统一高考考试科目以及考生选择的3门学业水平选择性考试科目</w:t>
      </w:r>
      <w:r>
        <w:rPr>
          <w:rFonts w:hint="default" w:ascii="Times New Roman" w:hAnsi="Times New Roman" w:eastAsia="仿宋_GB2312"/>
          <w:color w:val="000000"/>
          <w:kern w:val="2"/>
          <w:sz w:val="32"/>
          <w:szCs w:val="32"/>
        </w:rPr>
        <w:t>。</w:t>
      </w:r>
    </w:p>
    <w:p>
      <w:pPr>
        <w:pStyle w:val="25"/>
        <w:widowControl w:val="0"/>
        <w:spacing w:before="0" w:beforeAutospacing="0" w:after="0" w:afterAutospacing="0" w:line="540" w:lineRule="exact"/>
        <w:ind w:firstLine="640" w:firstLineChars="200"/>
        <w:jc w:val="both"/>
        <w:rPr>
          <w:rFonts w:hint="default" w:ascii="Times New Roman" w:hAnsi="Times New Roman" w:eastAsia="仿宋_GB2312"/>
          <w:bCs/>
          <w:color w:val="000000"/>
          <w:sz w:val="32"/>
          <w:szCs w:val="32"/>
        </w:rPr>
      </w:pPr>
      <w:r>
        <w:rPr>
          <w:rFonts w:hint="default" w:ascii="Times New Roman" w:hAnsi="Times New Roman" w:eastAsia="仿宋_GB2312"/>
          <w:bCs/>
          <w:color w:val="000000"/>
          <w:sz w:val="32"/>
          <w:szCs w:val="32"/>
        </w:rPr>
        <w:t>1.科目设置</w:t>
      </w:r>
    </w:p>
    <w:p>
      <w:pPr>
        <w:pStyle w:val="25"/>
        <w:widowControl w:val="0"/>
        <w:spacing w:before="0" w:beforeAutospacing="0" w:after="0" w:afterAutospacing="0" w:line="540" w:lineRule="exact"/>
        <w:ind w:firstLine="640" w:firstLineChars="200"/>
        <w:jc w:val="both"/>
        <w:rPr>
          <w:rFonts w:hint="default" w:ascii="Times New Roman" w:hAnsi="Times New Roman" w:eastAsia="仿宋_GB2312"/>
          <w:color w:val="000000"/>
          <w:kern w:val="2"/>
          <w:sz w:val="32"/>
          <w:szCs w:val="32"/>
        </w:rPr>
      </w:pPr>
      <w:r>
        <w:rPr>
          <w:rFonts w:hint="default" w:ascii="Times New Roman" w:hAnsi="Times New Roman" w:eastAsia="仿宋_GB2312"/>
          <w:color w:val="000000"/>
          <w:kern w:val="2"/>
          <w:sz w:val="32"/>
          <w:szCs w:val="32"/>
        </w:rPr>
        <w:t>统考科目：语文、数学、外语3门，不分文理。</w:t>
      </w:r>
    </w:p>
    <w:p>
      <w:pPr>
        <w:pStyle w:val="25"/>
        <w:widowControl w:val="0"/>
        <w:spacing w:before="0" w:beforeAutospacing="0" w:after="0" w:afterAutospacing="0" w:line="540" w:lineRule="exact"/>
        <w:ind w:firstLine="640" w:firstLineChars="200"/>
        <w:jc w:val="both"/>
        <w:rPr>
          <w:rFonts w:hint="default" w:ascii="Times New Roman" w:hAnsi="Times New Roman" w:eastAsia="仿宋_GB2312"/>
          <w:color w:val="000000"/>
          <w:kern w:val="2"/>
          <w:sz w:val="32"/>
          <w:szCs w:val="32"/>
        </w:rPr>
      </w:pPr>
      <w:r>
        <w:rPr>
          <w:rFonts w:hint="default" w:ascii="Times New Roman" w:hAnsi="Times New Roman" w:eastAsia="仿宋_GB2312"/>
          <w:color w:val="000000"/>
          <w:kern w:val="2"/>
          <w:sz w:val="32"/>
          <w:szCs w:val="32"/>
        </w:rPr>
        <w:t>选择性考试科目：思想政治、历史、地理、物理、化学、生物6门。考生首先在物理、历史2门科目中选择1门，再从思想政治、地理、化学、生物4门科目中选择2门。</w:t>
      </w:r>
    </w:p>
    <w:p>
      <w:pPr>
        <w:pStyle w:val="25"/>
        <w:widowControl w:val="0"/>
        <w:spacing w:before="0" w:beforeAutospacing="0" w:after="0" w:afterAutospacing="0" w:line="540" w:lineRule="exact"/>
        <w:ind w:firstLine="640" w:firstLineChars="200"/>
        <w:jc w:val="both"/>
        <w:rPr>
          <w:rFonts w:hint="default" w:ascii="Times New Roman" w:hAnsi="Times New Roman" w:eastAsia="仿宋_GB2312"/>
          <w:bCs/>
          <w:color w:val="000000"/>
          <w:sz w:val="32"/>
          <w:szCs w:val="32"/>
        </w:rPr>
      </w:pPr>
      <w:r>
        <w:rPr>
          <w:rFonts w:hint="default" w:ascii="Times New Roman" w:hAnsi="Times New Roman" w:eastAsia="仿宋_GB2312"/>
          <w:bCs/>
          <w:color w:val="000000"/>
          <w:sz w:val="32"/>
          <w:szCs w:val="32"/>
        </w:rPr>
        <w:t>2.成绩构成及计分方式</w:t>
      </w:r>
    </w:p>
    <w:p>
      <w:pPr>
        <w:pStyle w:val="25"/>
        <w:widowControl w:val="0"/>
        <w:spacing w:before="0" w:beforeAutospacing="0" w:after="0" w:afterAutospacing="0" w:line="540" w:lineRule="exact"/>
        <w:ind w:firstLine="640" w:firstLineChars="200"/>
        <w:jc w:val="both"/>
        <w:rPr>
          <w:rFonts w:hint="default" w:ascii="Times New Roman" w:hAnsi="Times New Roman" w:eastAsia="仿宋_GB2312"/>
          <w:color w:val="000000"/>
          <w:kern w:val="2"/>
          <w:sz w:val="32"/>
          <w:szCs w:val="32"/>
        </w:rPr>
      </w:pPr>
      <w:r>
        <w:rPr>
          <w:rFonts w:hint="default" w:ascii="Times New Roman" w:hAnsi="Times New Roman" w:eastAsia="仿宋_GB2312"/>
          <w:color w:val="000000"/>
          <w:kern w:val="2"/>
          <w:sz w:val="32"/>
          <w:szCs w:val="32"/>
        </w:rPr>
        <w:t>高考总分值设置为750分。考生总分由统一高考的语文、数学、外语科目成绩和学业水平考试3门选择性考试科目成绩组成。</w:t>
      </w:r>
    </w:p>
    <w:p>
      <w:pPr>
        <w:pStyle w:val="25"/>
        <w:widowControl w:val="0"/>
        <w:spacing w:before="0" w:beforeAutospacing="0" w:after="0" w:afterAutospacing="0" w:line="540" w:lineRule="exact"/>
        <w:ind w:firstLine="640" w:firstLineChars="200"/>
        <w:jc w:val="both"/>
        <w:rPr>
          <w:rFonts w:hint="default" w:ascii="Times New Roman" w:hAnsi="Times New Roman" w:eastAsia="仿宋_GB2312"/>
          <w:color w:val="000000"/>
          <w:kern w:val="2"/>
          <w:sz w:val="32"/>
          <w:szCs w:val="32"/>
        </w:rPr>
      </w:pPr>
      <w:r>
        <w:rPr>
          <w:rFonts w:hint="default" w:ascii="Times New Roman" w:hAnsi="Times New Roman" w:eastAsia="仿宋_GB2312"/>
          <w:color w:val="000000"/>
          <w:kern w:val="2"/>
          <w:sz w:val="32"/>
          <w:szCs w:val="32"/>
        </w:rPr>
        <w:t>语文、数学、外语3门科目以每门150分原始分计入总分，其中外语科目含听力考试30分。</w:t>
      </w:r>
    </w:p>
    <w:p>
      <w:pPr>
        <w:pStyle w:val="25"/>
        <w:spacing w:before="0" w:beforeAutospacing="0" w:after="0" w:afterAutospacing="0" w:line="540" w:lineRule="exact"/>
        <w:ind w:firstLine="640" w:firstLineChars="200"/>
        <w:rPr>
          <w:rFonts w:hint="default" w:ascii="Times New Roman" w:hAnsi="Times New Roman" w:eastAsia="仿宋_GB2312"/>
          <w:color w:val="000000"/>
          <w:kern w:val="2"/>
          <w:sz w:val="32"/>
          <w:szCs w:val="32"/>
        </w:rPr>
      </w:pPr>
      <w:r>
        <w:rPr>
          <w:rFonts w:hint="default" w:ascii="Times New Roman" w:hAnsi="Times New Roman" w:eastAsia="仿宋_GB2312"/>
          <w:color w:val="000000"/>
          <w:kern w:val="2"/>
          <w:sz w:val="32"/>
          <w:szCs w:val="32"/>
        </w:rPr>
        <w:t>选择性考试科目每门均为100分，其中物理、历史科目以原始分计入总分，其余科目以等级分计入总分。</w:t>
      </w:r>
    </w:p>
    <w:p>
      <w:pPr>
        <w:pStyle w:val="25"/>
        <w:spacing w:before="0" w:beforeAutospacing="0" w:after="0" w:afterAutospacing="0" w:line="540" w:lineRule="exact"/>
        <w:ind w:firstLine="640" w:firstLineChars="200"/>
        <w:rPr>
          <w:rFonts w:hint="default" w:ascii="Times New Roman" w:hAnsi="Times New Roman" w:eastAsia="仿宋_GB2312"/>
          <w:color w:val="000000"/>
          <w:kern w:val="2"/>
          <w:sz w:val="32"/>
          <w:szCs w:val="32"/>
        </w:rPr>
      </w:pPr>
      <w:r>
        <w:rPr>
          <w:rFonts w:hint="default" w:ascii="Times New Roman" w:hAnsi="Times New Roman" w:eastAsia="仿宋_GB2312"/>
          <w:color w:val="000000"/>
          <w:kern w:val="2"/>
          <w:sz w:val="32"/>
          <w:szCs w:val="32"/>
        </w:rPr>
        <w:t>3.普通高中学业水平合格性考试科目</w:t>
      </w:r>
    </w:p>
    <w:p>
      <w:pPr>
        <w:spacing w:line="540" w:lineRule="exact"/>
        <w:ind w:firstLine="640" w:firstLineChars="200"/>
        <w:rPr>
          <w:rFonts w:eastAsia="仿宋_GB2312"/>
          <w:color w:val="000000"/>
          <w:sz w:val="32"/>
          <w:szCs w:val="32"/>
        </w:rPr>
      </w:pPr>
      <w:r>
        <w:rPr>
          <w:rFonts w:eastAsia="仿宋_GB2312"/>
          <w:color w:val="000000"/>
          <w:sz w:val="32"/>
          <w:szCs w:val="32"/>
        </w:rPr>
        <w:t>考生所选的选择性考试科目，其所选科目的合格性考试成绩必须达到合格。对于选择性考试科目所对应合格性考试成绩不合格的考生，高考时不得参加相应科目考试，可参加志愿填报及投档。</w:t>
      </w:r>
    </w:p>
    <w:p>
      <w:pPr>
        <w:spacing w:line="540" w:lineRule="exact"/>
        <w:ind w:firstLine="640" w:firstLineChars="200"/>
        <w:rPr>
          <w:rFonts w:eastAsia="仿宋_GB2312"/>
          <w:color w:val="000000"/>
          <w:sz w:val="32"/>
          <w:szCs w:val="32"/>
        </w:rPr>
      </w:pPr>
      <w:r>
        <w:rPr>
          <w:rFonts w:eastAsia="仿宋_GB2312"/>
          <w:color w:val="000000"/>
          <w:sz w:val="32"/>
          <w:szCs w:val="32"/>
        </w:rPr>
        <w:t>4.考试日程</w:t>
      </w:r>
    </w:p>
    <w:p>
      <w:pPr>
        <w:spacing w:line="540" w:lineRule="exact"/>
        <w:ind w:firstLine="640" w:firstLineChars="200"/>
        <w:rPr>
          <w:rFonts w:eastAsia="仿宋_GB2312"/>
          <w:color w:val="000000"/>
          <w:sz w:val="32"/>
          <w:szCs w:val="32"/>
        </w:rPr>
      </w:pPr>
      <w:r>
        <w:rPr>
          <w:rFonts w:eastAsia="仿宋_GB2312"/>
          <w:color w:val="000000"/>
          <w:sz w:val="32"/>
          <w:szCs w:val="32"/>
        </w:rPr>
        <w:t>经教育部批准，我省全国统考科目、学业水平选择性考试科目考试时间为6月7、8、9日（具体安排见附件）。</w:t>
      </w:r>
    </w:p>
    <w:p>
      <w:pPr>
        <w:spacing w:line="540" w:lineRule="exact"/>
        <w:ind w:firstLine="640" w:firstLineChars="200"/>
        <w:rPr>
          <w:rFonts w:eastAsia="仿宋_GB2312"/>
          <w:color w:val="000000"/>
          <w:sz w:val="32"/>
          <w:szCs w:val="32"/>
        </w:rPr>
      </w:pPr>
      <w:r>
        <w:rPr>
          <w:rFonts w:eastAsia="仿宋_GB2312"/>
          <w:color w:val="000000"/>
          <w:sz w:val="32"/>
          <w:szCs w:val="32"/>
        </w:rPr>
        <w:t>5.综合素质评价</w:t>
      </w:r>
    </w:p>
    <w:p>
      <w:pPr>
        <w:spacing w:line="540" w:lineRule="exact"/>
        <w:ind w:firstLine="640" w:firstLineChars="200"/>
        <w:rPr>
          <w:rFonts w:eastAsia="仿宋_GB2312"/>
          <w:color w:val="000000"/>
          <w:sz w:val="32"/>
          <w:szCs w:val="32"/>
        </w:rPr>
      </w:pPr>
      <w:r>
        <w:rPr>
          <w:rFonts w:eastAsia="仿宋_GB2312"/>
          <w:color w:val="000000"/>
          <w:sz w:val="32"/>
          <w:szCs w:val="32"/>
        </w:rPr>
        <w:t>高中学生综合素质评价是学生毕业和升学的重要参考。综合素质评价围绕思想品德、学业水平、身心健康、艺术素养、社会实践、自我认识与生涯规划等六个方面进行写实记录，建立个人档案。个人综合素质评价档案将以统一格式提供给高校，具体使用办法由各院校在招生章程中予以明确。</w:t>
      </w:r>
    </w:p>
    <w:p>
      <w:pPr>
        <w:spacing w:line="540" w:lineRule="exact"/>
        <w:ind w:firstLine="640" w:firstLineChars="200"/>
        <w:rPr>
          <w:rFonts w:eastAsia="仿宋_GB2312"/>
          <w:color w:val="000000"/>
          <w:sz w:val="32"/>
          <w:szCs w:val="32"/>
        </w:rPr>
      </w:pPr>
      <w:r>
        <w:rPr>
          <w:rFonts w:eastAsia="仿宋_GB2312"/>
          <w:color w:val="000000"/>
          <w:sz w:val="32"/>
          <w:szCs w:val="32"/>
        </w:rPr>
        <w:t>（二）外语考试科目分英语、俄语、日语、法语、德语、西班牙语等6个语种，由考生任选其中一个语种参加考试。报考外语专业的考生，应参加外语口语测试，且成绩符合相关高校（专业）的报考要求。</w:t>
      </w:r>
    </w:p>
    <w:p>
      <w:pPr>
        <w:spacing w:line="540" w:lineRule="exact"/>
        <w:ind w:firstLine="640" w:firstLineChars="200"/>
        <w:rPr>
          <w:rFonts w:eastAsia="仿宋_GB2312"/>
          <w:color w:val="000000"/>
          <w:sz w:val="32"/>
          <w:szCs w:val="32"/>
        </w:rPr>
      </w:pPr>
      <w:r>
        <w:rPr>
          <w:rFonts w:eastAsia="仿宋_GB2312"/>
          <w:color w:val="000000"/>
          <w:sz w:val="32"/>
          <w:szCs w:val="32"/>
        </w:rPr>
        <w:t>（三）报考体育类、艺术类专业的考生，除必须参加全国文化统考和学业水平选择性科目考试外，还须按有关规定参加省教育考试院、招生高校组织的专业考试。</w:t>
      </w:r>
    </w:p>
    <w:p>
      <w:pPr>
        <w:spacing w:line="540" w:lineRule="exact"/>
        <w:ind w:firstLine="640" w:firstLineChars="200"/>
        <w:rPr>
          <w:rFonts w:eastAsia="仿宋_GB2312"/>
          <w:color w:val="000000"/>
          <w:sz w:val="32"/>
          <w:szCs w:val="32"/>
        </w:rPr>
      </w:pPr>
      <w:r>
        <w:rPr>
          <w:rFonts w:eastAsia="仿宋_GB2312"/>
          <w:color w:val="000000"/>
          <w:sz w:val="32"/>
          <w:szCs w:val="32"/>
        </w:rPr>
        <w:t>（四）各设区市、县（市、区）教育行政部门、招办以及中学要按有关要求，做好各项考试准备工作，严格按照江苏省普通高等学校招生全国统一考试考务工作细则的要求，认真做好考点设置、监考聘任、应考培训和考试组织与实施等考务管理工作。对参与监考及考务管理等工作的考试工作人员，应付给相应的劳动报酬。具体由各设区市、县（市、区）根据实际情况制定政策。</w:t>
      </w:r>
    </w:p>
    <w:p>
      <w:pPr>
        <w:spacing w:line="540" w:lineRule="exact"/>
        <w:ind w:firstLine="640" w:firstLineChars="200"/>
        <w:rPr>
          <w:rFonts w:eastAsia="仿宋_GB2312"/>
          <w:color w:val="000000"/>
          <w:sz w:val="32"/>
          <w:szCs w:val="32"/>
        </w:rPr>
      </w:pPr>
      <w:r>
        <w:rPr>
          <w:rFonts w:eastAsia="仿宋_GB2312"/>
          <w:color w:val="000000"/>
          <w:sz w:val="32"/>
          <w:szCs w:val="32"/>
        </w:rPr>
        <w:t>（五）各地各高校要按照教育部、中国残疾人联合会有关要求，结合本地本校实际，为残疾人平等报名参加考试提供合理便利条件。</w:t>
      </w:r>
    </w:p>
    <w:p>
      <w:pPr>
        <w:pStyle w:val="25"/>
        <w:widowControl w:val="0"/>
        <w:spacing w:before="0" w:beforeAutospacing="0" w:after="0" w:afterAutospacing="0" w:line="540" w:lineRule="exact"/>
        <w:ind w:firstLine="640" w:firstLineChars="200"/>
        <w:jc w:val="both"/>
        <w:rPr>
          <w:rFonts w:hint="default" w:ascii="Times New Roman" w:hAnsi="Times New Roman" w:eastAsia="黑体"/>
          <w:bCs/>
          <w:color w:val="000000"/>
          <w:sz w:val="32"/>
          <w:szCs w:val="32"/>
        </w:rPr>
      </w:pPr>
      <w:r>
        <w:rPr>
          <w:rFonts w:hint="default" w:ascii="Times New Roman" w:hAnsi="Times New Roman" w:eastAsia="黑体"/>
          <w:bCs/>
          <w:color w:val="000000"/>
          <w:sz w:val="32"/>
          <w:szCs w:val="32"/>
        </w:rPr>
        <w:t>七、评卷</w:t>
      </w:r>
    </w:p>
    <w:p>
      <w:pPr>
        <w:spacing w:line="540" w:lineRule="exact"/>
        <w:ind w:firstLine="640" w:firstLineChars="200"/>
        <w:rPr>
          <w:rFonts w:eastAsia="仿宋_GB2312"/>
          <w:color w:val="000000"/>
          <w:sz w:val="32"/>
          <w:szCs w:val="32"/>
        </w:rPr>
      </w:pPr>
      <w:r>
        <w:rPr>
          <w:rFonts w:eastAsia="仿宋_GB2312"/>
          <w:color w:val="000000"/>
          <w:sz w:val="32"/>
          <w:szCs w:val="32"/>
        </w:rPr>
        <w:t>评卷工作由省教育考试院统一组织，所有科目均实行计算机网上评卷。各设区市教育局和各有关高校要认真做好评卷教师的推荐、资格审核和选聘工作。</w:t>
      </w:r>
    </w:p>
    <w:p>
      <w:pPr>
        <w:spacing w:line="540" w:lineRule="exact"/>
        <w:ind w:firstLine="640" w:firstLineChars="200"/>
        <w:rPr>
          <w:rFonts w:eastAsia="仿宋_GB2312"/>
          <w:color w:val="000000"/>
          <w:sz w:val="32"/>
          <w:szCs w:val="32"/>
        </w:rPr>
      </w:pPr>
      <w:r>
        <w:rPr>
          <w:rFonts w:eastAsia="仿宋_GB2312"/>
          <w:color w:val="000000"/>
          <w:sz w:val="32"/>
          <w:szCs w:val="32"/>
        </w:rPr>
        <w:t>根据《省教育厅关于确定江苏省普通高等学校招生全国统一考试各科目评分细则密级的通知》（苏教考函〔2017〕4号），我省普通高考各科目评分细则为国家秘密级秘密，保密期限为5年，知悉范围为各相关学科评卷教师及工作人员。承担评卷任务的高校要切实做好各项准备工作，严格按照网上评卷的有关规定，精心组织，周密部署，务必按时、保质、保量地完成评卷工作任务。</w:t>
      </w:r>
    </w:p>
    <w:p>
      <w:pPr>
        <w:pStyle w:val="25"/>
        <w:widowControl w:val="0"/>
        <w:spacing w:before="0" w:beforeAutospacing="0" w:after="0" w:afterAutospacing="0" w:line="540" w:lineRule="exact"/>
        <w:ind w:firstLine="640" w:firstLineChars="200"/>
        <w:jc w:val="both"/>
        <w:rPr>
          <w:rFonts w:hint="default" w:ascii="Times New Roman" w:hAnsi="Times New Roman" w:eastAsia="黑体"/>
          <w:bCs/>
          <w:color w:val="000000"/>
          <w:sz w:val="32"/>
          <w:szCs w:val="32"/>
        </w:rPr>
      </w:pPr>
      <w:r>
        <w:rPr>
          <w:rFonts w:hint="default" w:ascii="Times New Roman" w:hAnsi="Times New Roman" w:eastAsia="黑体"/>
          <w:bCs/>
          <w:color w:val="000000"/>
          <w:sz w:val="32"/>
          <w:szCs w:val="32"/>
        </w:rPr>
        <w:t>八、招生计划</w:t>
      </w:r>
    </w:p>
    <w:p>
      <w:pPr>
        <w:spacing w:line="540" w:lineRule="exact"/>
        <w:ind w:firstLine="672" w:firstLineChars="210"/>
        <w:rPr>
          <w:rFonts w:eastAsia="仿宋_GB2312"/>
          <w:color w:val="000000"/>
          <w:sz w:val="32"/>
          <w:szCs w:val="32"/>
        </w:rPr>
      </w:pPr>
      <w:r>
        <w:rPr>
          <w:rFonts w:eastAsia="仿宋_GB2312"/>
          <w:color w:val="000000"/>
          <w:sz w:val="32"/>
          <w:szCs w:val="32"/>
        </w:rPr>
        <w:t>高校根据经济社会发展的需要和对人才需求的分析、预测，结合自身办学条件、毕业生就业情况和生源情况，按照教育部和我省有关计划编制原则和要求编制招生来源计划。高校在我省安排的招生计划，经其主管部门核定、批准后，应在规定的时间内报送至省教育考试院，由省教育考试院在考生填报志愿前向社会公布。</w:t>
      </w:r>
    </w:p>
    <w:p>
      <w:pPr>
        <w:spacing w:line="540" w:lineRule="exact"/>
        <w:ind w:firstLine="672" w:firstLineChars="210"/>
        <w:rPr>
          <w:rFonts w:eastAsia="仿宋_GB2312"/>
          <w:color w:val="000000"/>
          <w:sz w:val="32"/>
          <w:szCs w:val="32"/>
        </w:rPr>
      </w:pPr>
      <w:r>
        <w:rPr>
          <w:rFonts w:eastAsia="仿宋_GB2312"/>
          <w:color w:val="000000"/>
          <w:sz w:val="32"/>
          <w:szCs w:val="32"/>
        </w:rPr>
        <w:t>我省普通高校招生计划按照历史等科目类、物理等科目类分别编制。一所院校可设置一个或多个院校专业组，每个院校专业组内可包含数量不等的专业（类）。同一院校专业组内各专业（类）对考生的选考科目要求相同。同一院校选考科目要求相同的专业（类）也可分设在不同的院校专业组中。</w:t>
      </w:r>
    </w:p>
    <w:p>
      <w:pPr>
        <w:spacing w:line="540" w:lineRule="exact"/>
        <w:ind w:firstLine="672" w:firstLineChars="210"/>
        <w:rPr>
          <w:rFonts w:eastAsia="仿宋_GB2312"/>
          <w:color w:val="000000"/>
          <w:sz w:val="32"/>
          <w:szCs w:val="32"/>
        </w:rPr>
      </w:pPr>
      <w:r>
        <w:rPr>
          <w:rFonts w:eastAsia="仿宋_GB2312"/>
          <w:color w:val="000000"/>
          <w:sz w:val="32"/>
          <w:szCs w:val="32"/>
        </w:rPr>
        <w:t>根据教育部规定，安排跨省（区、市）招生的本科高校可以在国家核定的年度招生规模内，预留不超过本校本科招生计划总数1%的计划，用于调节各地统考上线生源的不平衡。高校须将预留计划数及其使用原则等向社会公开。</w:t>
      </w:r>
    </w:p>
    <w:p>
      <w:pPr>
        <w:pStyle w:val="25"/>
        <w:widowControl w:val="0"/>
        <w:spacing w:before="0" w:beforeAutospacing="0" w:after="0" w:afterAutospacing="0" w:line="540" w:lineRule="exact"/>
        <w:ind w:firstLine="640" w:firstLineChars="200"/>
        <w:jc w:val="both"/>
        <w:rPr>
          <w:rFonts w:hint="default" w:ascii="Times New Roman" w:hAnsi="Times New Roman" w:eastAsia="黑体"/>
          <w:bCs/>
          <w:color w:val="000000"/>
          <w:sz w:val="32"/>
          <w:szCs w:val="32"/>
        </w:rPr>
      </w:pPr>
      <w:r>
        <w:rPr>
          <w:rFonts w:hint="default" w:ascii="Times New Roman" w:hAnsi="Times New Roman" w:eastAsia="黑体"/>
          <w:bCs/>
          <w:color w:val="000000"/>
          <w:sz w:val="32"/>
          <w:szCs w:val="32"/>
        </w:rPr>
        <w:t>九、招生章程</w:t>
      </w:r>
    </w:p>
    <w:p>
      <w:pPr>
        <w:spacing w:line="540" w:lineRule="exact"/>
        <w:ind w:firstLine="672" w:firstLineChars="210"/>
        <w:rPr>
          <w:rFonts w:eastAsia="仿宋_GB2312"/>
          <w:color w:val="000000"/>
          <w:sz w:val="32"/>
          <w:szCs w:val="32"/>
        </w:rPr>
      </w:pPr>
      <w:r>
        <w:rPr>
          <w:rFonts w:eastAsia="仿宋_GB2312"/>
          <w:color w:val="000000"/>
          <w:sz w:val="32"/>
          <w:szCs w:val="32"/>
        </w:rPr>
        <w:t>招生章程是高校向社会公布有关招生信息的必要形式，其内容必须合法、真实、准确、表述规范，应符合国家相关法规和我省的招生政策。各高校应制定适应我省高考方案的相关录取规则。凡高校招生章程与国家或我省招生政策相违背的，一律以国家或我省的招生政策为准。</w:t>
      </w:r>
    </w:p>
    <w:p>
      <w:pPr>
        <w:spacing w:line="540" w:lineRule="exact"/>
        <w:ind w:firstLine="672" w:firstLineChars="210"/>
        <w:rPr>
          <w:rFonts w:eastAsia="仿宋_GB2312"/>
          <w:color w:val="000000"/>
          <w:sz w:val="32"/>
          <w:szCs w:val="32"/>
        </w:rPr>
      </w:pPr>
      <w:r>
        <w:rPr>
          <w:rFonts w:eastAsia="仿宋_GB2312"/>
          <w:color w:val="000000"/>
          <w:sz w:val="32"/>
          <w:szCs w:val="32"/>
        </w:rPr>
        <w:t>根据教育部规定，高校须在规定时间内将本校招生章程上传至中国高等教育学生信息网（http://gaokao.chsi.com.cn）“阳光高考”招生信息发布及管理平台（以下简称“阳光高考”平台），由其主管部门依据国家有关法律和招生政策规定，对招生章程进行核定，核定后方能向社会公布。一经公布，不得擅自更改；</w:t>
      </w:r>
      <w:r>
        <w:rPr>
          <w:rFonts w:eastAsia="仿宋_GB2312"/>
          <w:color w:val="333333"/>
          <w:sz w:val="32"/>
          <w:szCs w:val="32"/>
        </w:rPr>
        <w:t>如有补充说明，应及时向社会公布并通报有关省级招生考试机构</w:t>
      </w:r>
      <w:r>
        <w:rPr>
          <w:rFonts w:eastAsia="仿宋_GB2312"/>
          <w:sz w:val="32"/>
          <w:szCs w:val="32"/>
        </w:rPr>
        <w:t>。</w:t>
      </w:r>
    </w:p>
    <w:p>
      <w:pPr>
        <w:spacing w:line="540" w:lineRule="exact"/>
        <w:ind w:firstLine="640" w:firstLineChars="200"/>
        <w:rPr>
          <w:rFonts w:eastAsia="仿宋_GB2312"/>
          <w:color w:val="000000"/>
          <w:sz w:val="32"/>
          <w:szCs w:val="32"/>
        </w:rPr>
      </w:pPr>
      <w:r>
        <w:rPr>
          <w:rFonts w:eastAsia="仿宋_GB2312"/>
          <w:color w:val="000000"/>
          <w:sz w:val="32"/>
          <w:szCs w:val="32"/>
        </w:rPr>
        <w:t>各高校在报送招生计划的同时，须将本校公布招生章程的网址和联系方式一并报省教育考试院。我省将在公布招生计划的同时，汇总并公布各高校招生章程的网址和联系方式。</w:t>
      </w:r>
    </w:p>
    <w:p>
      <w:pPr>
        <w:pStyle w:val="25"/>
        <w:widowControl w:val="0"/>
        <w:spacing w:before="0" w:beforeAutospacing="0" w:after="0" w:afterAutospacing="0" w:line="540" w:lineRule="exact"/>
        <w:ind w:firstLine="640" w:firstLineChars="200"/>
        <w:jc w:val="both"/>
        <w:rPr>
          <w:rFonts w:hint="default" w:ascii="Times New Roman" w:hAnsi="Times New Roman" w:eastAsia="黑体"/>
          <w:bCs/>
          <w:color w:val="000000"/>
          <w:sz w:val="32"/>
          <w:szCs w:val="32"/>
        </w:rPr>
      </w:pPr>
      <w:r>
        <w:rPr>
          <w:rFonts w:hint="default" w:ascii="Times New Roman" w:hAnsi="Times New Roman" w:eastAsia="黑体"/>
          <w:bCs/>
          <w:color w:val="000000"/>
          <w:sz w:val="32"/>
          <w:szCs w:val="32"/>
        </w:rPr>
        <w:t>十、志愿填报</w:t>
      </w:r>
    </w:p>
    <w:p>
      <w:pPr>
        <w:spacing w:line="540" w:lineRule="exact"/>
        <w:ind w:firstLine="640" w:firstLineChars="200"/>
        <w:rPr>
          <w:rFonts w:eastAsia="仿宋_GB2312"/>
          <w:color w:val="000000"/>
          <w:sz w:val="32"/>
          <w:szCs w:val="32"/>
        </w:rPr>
      </w:pPr>
      <w:r>
        <w:rPr>
          <w:rFonts w:eastAsia="仿宋_GB2312"/>
          <w:color w:val="000000"/>
          <w:sz w:val="32"/>
          <w:szCs w:val="32"/>
        </w:rPr>
        <w:t>（一）录取批次</w:t>
      </w:r>
    </w:p>
    <w:p>
      <w:pPr>
        <w:spacing w:line="540" w:lineRule="exact"/>
        <w:ind w:firstLine="640" w:firstLineChars="200"/>
        <w:rPr>
          <w:rFonts w:eastAsia="仿宋_GB2312"/>
          <w:color w:val="000000"/>
          <w:sz w:val="32"/>
          <w:szCs w:val="32"/>
        </w:rPr>
      </w:pPr>
      <w:r>
        <w:rPr>
          <w:rFonts w:eastAsia="仿宋_GB2312"/>
          <w:color w:val="000000"/>
          <w:sz w:val="32"/>
          <w:szCs w:val="32"/>
        </w:rPr>
        <w:t>录取批次共设3批，其中本科2批，专科1批。高校录取工作分批次依次进行。</w:t>
      </w:r>
    </w:p>
    <w:p>
      <w:pPr>
        <w:spacing w:line="540" w:lineRule="exact"/>
        <w:ind w:firstLine="640" w:firstLineChars="200"/>
        <w:rPr>
          <w:rFonts w:eastAsia="仿宋_GB2312"/>
          <w:color w:val="000000"/>
          <w:sz w:val="32"/>
          <w:szCs w:val="32"/>
        </w:rPr>
      </w:pPr>
      <w:r>
        <w:rPr>
          <w:rFonts w:eastAsia="仿宋_GB2312"/>
          <w:color w:val="000000"/>
          <w:sz w:val="32"/>
          <w:szCs w:val="32"/>
        </w:rPr>
        <w:t>1.本科提前批次。包括军事院校等部分普通类本科院校（专业），体育类本科院校，艺术类本科院校。强基计划、综合评价（A类院校）等类型的录取，安排在本科提前批次之前进行。</w:t>
      </w:r>
    </w:p>
    <w:p>
      <w:pPr>
        <w:spacing w:line="540" w:lineRule="exact"/>
        <w:ind w:firstLine="640" w:firstLineChars="200"/>
        <w:rPr>
          <w:rFonts w:eastAsia="仿宋_GB2312"/>
          <w:color w:val="000000"/>
          <w:sz w:val="32"/>
          <w:szCs w:val="32"/>
        </w:rPr>
      </w:pPr>
      <w:r>
        <w:rPr>
          <w:rFonts w:eastAsia="仿宋_GB2312"/>
          <w:color w:val="000000"/>
          <w:sz w:val="32"/>
          <w:szCs w:val="32"/>
        </w:rPr>
        <w:t>2.本科批次。其中，高校专项计划、综合评价（B类院校）、高水平艺术团、高水平运动队等特殊类型招生的录取安排在本科提前批次之后本科批次开始之前进行。</w:t>
      </w:r>
    </w:p>
    <w:p>
      <w:pPr>
        <w:spacing w:line="540" w:lineRule="exact"/>
        <w:ind w:firstLine="640" w:firstLineChars="200"/>
        <w:rPr>
          <w:rFonts w:eastAsia="仿宋_GB2312"/>
          <w:color w:val="000000"/>
          <w:sz w:val="32"/>
          <w:szCs w:val="32"/>
        </w:rPr>
      </w:pPr>
      <w:r>
        <w:rPr>
          <w:rFonts w:eastAsia="仿宋_GB2312"/>
          <w:color w:val="000000"/>
          <w:sz w:val="32"/>
          <w:szCs w:val="32"/>
        </w:rPr>
        <w:t>3.专科批次。其中，体育类、艺术类、定向培养</w:t>
      </w:r>
      <w:r>
        <w:rPr>
          <w:rFonts w:eastAsia="仿宋_GB2312"/>
          <w:color w:val="000000"/>
          <w:kern w:val="0"/>
          <w:sz w:val="32"/>
          <w:szCs w:val="32"/>
        </w:rPr>
        <w:t>军士</w:t>
      </w:r>
      <w:r>
        <w:rPr>
          <w:rFonts w:eastAsia="仿宋_GB2312"/>
          <w:color w:val="000000"/>
          <w:sz w:val="32"/>
          <w:szCs w:val="32"/>
        </w:rPr>
        <w:t>等在普通类批量投档前完成录取。</w:t>
      </w:r>
    </w:p>
    <w:p>
      <w:pPr>
        <w:spacing w:line="540" w:lineRule="exact"/>
        <w:ind w:firstLine="640" w:firstLineChars="200"/>
        <w:rPr>
          <w:rFonts w:eastAsia="仿宋_GB2312"/>
          <w:color w:val="000000"/>
          <w:sz w:val="32"/>
          <w:szCs w:val="32"/>
        </w:rPr>
      </w:pPr>
      <w:r>
        <w:rPr>
          <w:rFonts w:eastAsia="仿宋_GB2312"/>
          <w:color w:val="000000"/>
          <w:sz w:val="32"/>
          <w:szCs w:val="32"/>
        </w:rPr>
        <w:t>（二）志愿设置</w:t>
      </w:r>
    </w:p>
    <w:p>
      <w:pPr>
        <w:spacing w:line="540" w:lineRule="exact"/>
        <w:ind w:firstLine="640" w:firstLineChars="200"/>
        <w:rPr>
          <w:rFonts w:eastAsia="仿宋_GB2312"/>
          <w:color w:val="000000"/>
          <w:sz w:val="32"/>
          <w:szCs w:val="32"/>
        </w:rPr>
      </w:pPr>
      <w:r>
        <w:rPr>
          <w:rFonts w:eastAsia="仿宋_GB2312"/>
          <w:color w:val="000000"/>
          <w:sz w:val="32"/>
          <w:szCs w:val="32"/>
        </w:rPr>
        <w:t>1.普通类各批次实行平行志愿方式。其中，本科提前批次设置20个院校专业组志愿，本科批次和专科批次分别设置40个院校专业组志愿。每个院校专业组志愿设置6个专业志愿和1个专业服从调剂志愿。</w:t>
      </w:r>
    </w:p>
    <w:p>
      <w:pPr>
        <w:spacing w:line="540" w:lineRule="exact"/>
        <w:ind w:firstLine="640" w:firstLineChars="200"/>
        <w:rPr>
          <w:rFonts w:eastAsia="仿宋_GB2312"/>
          <w:color w:val="000000"/>
          <w:sz w:val="32"/>
          <w:szCs w:val="32"/>
        </w:rPr>
      </w:pPr>
      <w:r>
        <w:rPr>
          <w:rFonts w:eastAsia="仿宋_GB2312"/>
          <w:color w:val="000000"/>
          <w:sz w:val="32"/>
          <w:szCs w:val="32"/>
        </w:rPr>
        <w:t>此外，高校专项计划、综合评价（B类院校）、高水平艺术团、高水平运动队等特殊类型志愿实行传统（顺序）志愿方式，分历史等科目类和物理等科目类，设置1个院校志愿，包括6个专业志愿和1个专业服从调剂志愿。</w:t>
      </w:r>
    </w:p>
    <w:p>
      <w:pPr>
        <w:spacing w:line="540" w:lineRule="exact"/>
        <w:ind w:firstLine="640" w:firstLineChars="200"/>
        <w:rPr>
          <w:rFonts w:eastAsia="仿宋_GB2312"/>
          <w:color w:val="000000"/>
          <w:sz w:val="32"/>
          <w:szCs w:val="32"/>
        </w:rPr>
      </w:pPr>
      <w:r>
        <w:rPr>
          <w:rFonts w:eastAsia="仿宋_GB2312"/>
          <w:color w:val="000000"/>
          <w:sz w:val="32"/>
          <w:szCs w:val="32"/>
        </w:rPr>
        <w:t>2.体育类各批次实行平行志愿方式，设置20个院校专业组志愿，每个院校专业组志愿设置4个专业志愿和1个专业服从调剂志愿。</w:t>
      </w:r>
    </w:p>
    <w:p>
      <w:pPr>
        <w:spacing w:line="540" w:lineRule="exact"/>
        <w:ind w:firstLine="640" w:firstLineChars="200"/>
        <w:rPr>
          <w:rFonts w:eastAsia="仿宋_GB2312"/>
          <w:color w:val="000000"/>
          <w:sz w:val="32"/>
        </w:rPr>
      </w:pPr>
      <w:r>
        <w:rPr>
          <w:rFonts w:eastAsia="仿宋_GB2312"/>
          <w:color w:val="000000"/>
          <w:sz w:val="32"/>
          <w:szCs w:val="32"/>
        </w:rPr>
        <w:t>3.</w:t>
      </w:r>
      <w:r>
        <w:rPr>
          <w:rFonts w:eastAsia="仿宋_GB2312"/>
          <w:color w:val="000000"/>
          <w:sz w:val="32"/>
        </w:rPr>
        <w:t>艺术类</w:t>
      </w:r>
      <w:r>
        <w:rPr>
          <w:rFonts w:eastAsia="仿宋_GB2312"/>
          <w:color w:val="000000"/>
          <w:sz w:val="32"/>
          <w:szCs w:val="32"/>
        </w:rPr>
        <w:t>设置传统（顺序）志愿、平行志愿两种方式。</w:t>
      </w:r>
      <w:r>
        <w:rPr>
          <w:rFonts w:eastAsia="仿宋_GB2312"/>
          <w:color w:val="000000"/>
          <w:sz w:val="32"/>
        </w:rPr>
        <w:t>录取批次设置为本科提前批次和专科两大批次。</w:t>
      </w:r>
    </w:p>
    <w:p>
      <w:pPr>
        <w:spacing w:line="540" w:lineRule="exact"/>
        <w:ind w:firstLine="640" w:firstLineChars="200"/>
        <w:rPr>
          <w:rFonts w:eastAsia="仿宋_GB2312"/>
          <w:color w:val="000000"/>
          <w:sz w:val="32"/>
          <w:szCs w:val="32"/>
        </w:rPr>
      </w:pPr>
      <w:r>
        <w:rPr>
          <w:rFonts w:eastAsia="仿宋_GB2312"/>
          <w:color w:val="000000"/>
          <w:sz w:val="32"/>
          <w:szCs w:val="32"/>
        </w:rPr>
        <w:t>（1）本科提前批次</w:t>
      </w:r>
    </w:p>
    <w:p>
      <w:pPr>
        <w:spacing w:line="540" w:lineRule="exact"/>
        <w:ind w:firstLine="601"/>
        <w:rPr>
          <w:rFonts w:eastAsia="仿宋_GB2312"/>
          <w:color w:val="000000"/>
          <w:sz w:val="32"/>
        </w:rPr>
      </w:pPr>
      <w:r>
        <w:rPr>
          <w:rFonts w:eastAsia="仿宋_GB2312"/>
          <w:color w:val="000000"/>
          <w:sz w:val="32"/>
        </w:rPr>
        <w:t>艺术类本科提前批次下设3小批，具体情况如下：</w:t>
      </w:r>
    </w:p>
    <w:p>
      <w:pPr>
        <w:spacing w:line="540" w:lineRule="exact"/>
        <w:ind w:firstLine="601"/>
        <w:rPr>
          <w:rFonts w:eastAsia="仿宋_GB2312"/>
          <w:color w:val="000000"/>
          <w:sz w:val="32"/>
        </w:rPr>
      </w:pPr>
      <w:r>
        <w:rPr>
          <w:rFonts w:eastAsia="仿宋_GB2312"/>
          <w:color w:val="000000"/>
          <w:sz w:val="32"/>
        </w:rPr>
        <w:t>第1小批：经教育部批准的部分独立设置的本科艺术院校（含部分艺术类本科专业参照执行的少数高校）和原“211工程”院校校考的艺术类本科专业、中央部门所属高校的非美术类校考的艺术类本科专业，实行传统（顺序）志愿设置。</w:t>
      </w:r>
    </w:p>
    <w:p>
      <w:pPr>
        <w:spacing w:line="540" w:lineRule="exact"/>
        <w:ind w:firstLine="601"/>
        <w:rPr>
          <w:rFonts w:eastAsia="仿宋_GB2312"/>
          <w:color w:val="000000"/>
          <w:sz w:val="32"/>
        </w:rPr>
      </w:pPr>
      <w:r>
        <w:rPr>
          <w:rFonts w:eastAsia="仿宋_GB2312"/>
          <w:color w:val="000000"/>
          <w:sz w:val="32"/>
        </w:rPr>
        <w:t>第2小批：使用省统考成绩录取的省内外高校的艺术类本科专业，实行平行志愿设置。</w:t>
      </w:r>
    </w:p>
    <w:p>
      <w:pPr>
        <w:spacing w:line="540" w:lineRule="exact"/>
        <w:ind w:firstLine="601"/>
        <w:rPr>
          <w:rFonts w:eastAsia="仿宋_GB2312"/>
          <w:color w:val="000000"/>
          <w:sz w:val="32"/>
        </w:rPr>
      </w:pPr>
      <w:r>
        <w:rPr>
          <w:rFonts w:eastAsia="仿宋_GB2312"/>
          <w:color w:val="000000"/>
          <w:sz w:val="32"/>
        </w:rPr>
        <w:t>第3小批：除第1小批以外的其他院校校考的艺术类本科专业，实行传统（顺序）志愿设置。</w:t>
      </w:r>
    </w:p>
    <w:p>
      <w:pPr>
        <w:spacing w:line="540" w:lineRule="exact"/>
        <w:ind w:firstLine="640" w:firstLineChars="200"/>
        <w:rPr>
          <w:rFonts w:eastAsia="仿宋_GB2312"/>
          <w:color w:val="000000"/>
          <w:sz w:val="32"/>
          <w:szCs w:val="32"/>
        </w:rPr>
      </w:pPr>
      <w:r>
        <w:rPr>
          <w:rFonts w:eastAsia="仿宋_GB2312"/>
          <w:color w:val="000000"/>
          <w:sz w:val="32"/>
          <w:szCs w:val="32"/>
        </w:rPr>
        <w:t>（2）专科批次</w:t>
      </w:r>
    </w:p>
    <w:p>
      <w:pPr>
        <w:spacing w:line="540" w:lineRule="exact"/>
        <w:ind w:firstLine="640" w:firstLineChars="200"/>
        <w:rPr>
          <w:rFonts w:eastAsia="仿宋_GB2312"/>
          <w:color w:val="000000"/>
          <w:sz w:val="32"/>
          <w:szCs w:val="32"/>
        </w:rPr>
      </w:pPr>
      <w:r>
        <w:rPr>
          <w:rFonts w:eastAsia="仿宋_GB2312"/>
          <w:color w:val="000000"/>
          <w:sz w:val="32"/>
          <w:szCs w:val="32"/>
        </w:rPr>
        <w:t>使用省统考成绩录取的专业，实行平行志愿设置；使用校考成绩录取的专业，实行传统（顺序）志愿设置。考生只能在</w:t>
      </w:r>
      <w:r>
        <w:rPr>
          <w:rFonts w:eastAsia="仿宋_GB2312"/>
          <w:color w:val="000000"/>
          <w:sz w:val="32"/>
        </w:rPr>
        <w:t>使用省统考成绩录取或使用校考成绩录取的院校专业</w:t>
      </w:r>
      <w:r>
        <w:rPr>
          <w:rFonts w:eastAsia="仿宋_GB2312"/>
          <w:color w:val="000000"/>
          <w:sz w:val="32"/>
          <w:szCs w:val="32"/>
        </w:rPr>
        <w:t>中选择其一填报。</w:t>
      </w:r>
    </w:p>
    <w:p>
      <w:pPr>
        <w:spacing w:line="540" w:lineRule="exact"/>
        <w:ind w:firstLine="640" w:firstLineChars="200"/>
        <w:rPr>
          <w:rFonts w:eastAsia="仿宋_GB2312"/>
          <w:color w:val="000000"/>
          <w:sz w:val="32"/>
          <w:szCs w:val="32"/>
        </w:rPr>
      </w:pPr>
      <w:r>
        <w:rPr>
          <w:rFonts w:eastAsia="仿宋_GB2312"/>
          <w:color w:val="000000"/>
          <w:sz w:val="32"/>
          <w:szCs w:val="32"/>
        </w:rPr>
        <w:t>平行志愿设置20个院校专业组志愿，每个院校专业组志愿设置4个专业志愿和1个专业服从调剂志愿。传统（顺序）志愿设置1个院校专业组志愿，包括4个专业志愿和1个专业服从调剂志愿。</w:t>
      </w:r>
    </w:p>
    <w:p>
      <w:pPr>
        <w:spacing w:line="540" w:lineRule="exact"/>
        <w:ind w:firstLine="640" w:firstLineChars="200"/>
        <w:rPr>
          <w:rFonts w:eastAsia="仿宋_GB2312"/>
          <w:color w:val="000000"/>
          <w:sz w:val="32"/>
          <w:szCs w:val="32"/>
        </w:rPr>
      </w:pPr>
      <w:r>
        <w:rPr>
          <w:rFonts w:eastAsia="仿宋_GB2312"/>
          <w:color w:val="000000"/>
          <w:sz w:val="32"/>
          <w:szCs w:val="32"/>
        </w:rPr>
        <w:t>4.各批次志愿录取结束后，设置征求志愿，征求志愿设置与相应批次志愿设置一致。</w:t>
      </w:r>
    </w:p>
    <w:p>
      <w:pPr>
        <w:spacing w:line="540" w:lineRule="exact"/>
        <w:ind w:firstLine="640" w:firstLineChars="200"/>
        <w:rPr>
          <w:rFonts w:eastAsia="仿宋_GB2312"/>
          <w:color w:val="000000"/>
          <w:sz w:val="32"/>
          <w:szCs w:val="32"/>
        </w:rPr>
      </w:pPr>
      <w:r>
        <w:rPr>
          <w:rFonts w:eastAsia="仿宋_GB2312"/>
          <w:color w:val="000000"/>
          <w:sz w:val="32"/>
          <w:szCs w:val="32"/>
        </w:rPr>
        <w:t>（三）志愿填报</w:t>
      </w:r>
    </w:p>
    <w:p>
      <w:pPr>
        <w:spacing w:line="540" w:lineRule="exact"/>
        <w:ind w:firstLine="640" w:firstLineChars="200"/>
        <w:rPr>
          <w:rFonts w:eastAsia="仿宋_GB2312"/>
          <w:color w:val="000000"/>
          <w:sz w:val="32"/>
          <w:szCs w:val="32"/>
        </w:rPr>
      </w:pPr>
      <w:r>
        <w:rPr>
          <w:rFonts w:eastAsia="仿宋_GB2312"/>
          <w:color w:val="000000"/>
          <w:sz w:val="32"/>
          <w:szCs w:val="32"/>
        </w:rPr>
        <w:t>各批次志愿填报采用“院校专业组+专业（类）”模式。院校专业组由院校根据不同专业（或专业类）的人才培养需要和选考科目要求设置，是志愿填报的基本单位。考生的学业水平选择性考试科目须符合报考院校专业组的选考科目要求，方可填报相关志愿。</w:t>
      </w:r>
    </w:p>
    <w:p>
      <w:pPr>
        <w:spacing w:line="540" w:lineRule="exact"/>
        <w:ind w:firstLine="720" w:firstLineChars="225"/>
        <w:rPr>
          <w:rFonts w:eastAsia="仿宋_GB2312"/>
          <w:color w:val="000000"/>
          <w:sz w:val="32"/>
          <w:szCs w:val="32"/>
        </w:rPr>
      </w:pPr>
      <w:r>
        <w:rPr>
          <w:rFonts w:eastAsia="仿宋_GB2312"/>
          <w:color w:val="000000"/>
          <w:sz w:val="32"/>
          <w:szCs w:val="32"/>
        </w:rPr>
        <w:t>1.平行志愿[含艺术类传统（顺序）志愿]。考生在获知高考成绩、学业水平考试成绩、位次信息、各批次省录取控制分数线后，在省教育考试院门户网站或专设网站，分两个阶段网上填报志愿：</w:t>
      </w:r>
    </w:p>
    <w:p>
      <w:pPr>
        <w:spacing w:line="540" w:lineRule="exact"/>
        <w:ind w:firstLine="640" w:firstLineChars="200"/>
        <w:rPr>
          <w:rFonts w:eastAsia="仿宋_GB2312"/>
          <w:color w:val="000000"/>
          <w:sz w:val="32"/>
          <w:szCs w:val="32"/>
        </w:rPr>
      </w:pPr>
      <w:r>
        <w:rPr>
          <w:rFonts w:eastAsia="仿宋_GB2312"/>
          <w:color w:val="000000"/>
          <w:sz w:val="32"/>
          <w:szCs w:val="32"/>
        </w:rPr>
        <w:t>第一阶段：6月28日至7月2日，填报本科院校专业组志愿，包括普通类本科提前批次志愿，含军事、公安政法、航海、地方专项计划、乡村教师计划、其他院校等；体育类或艺术类本科提前批次志愿；普通类本科批次志愿。</w:t>
      </w:r>
    </w:p>
    <w:p>
      <w:pPr>
        <w:spacing w:line="540" w:lineRule="exact"/>
        <w:ind w:firstLine="672" w:firstLineChars="210"/>
        <w:rPr>
          <w:rFonts w:eastAsia="仿宋_GB2312"/>
          <w:color w:val="000000"/>
          <w:sz w:val="32"/>
          <w:szCs w:val="32"/>
        </w:rPr>
      </w:pPr>
      <w:bookmarkStart w:id="2" w:name="_Hlk68856648"/>
      <w:r>
        <w:rPr>
          <w:rFonts w:eastAsia="仿宋_GB2312"/>
          <w:color w:val="000000"/>
          <w:sz w:val="32"/>
          <w:szCs w:val="32"/>
        </w:rPr>
        <w:t>第二阶段：7月27日至28日，填报专科批次院校专业组志愿。</w:t>
      </w:r>
      <w:bookmarkEnd w:id="2"/>
      <w:r>
        <w:rPr>
          <w:rFonts w:eastAsia="仿宋_GB2312"/>
          <w:color w:val="000000"/>
          <w:sz w:val="32"/>
          <w:szCs w:val="32"/>
        </w:rPr>
        <w:t>凡未被第一阶段各批次高校录取的考生均可填报，包括普通类、体育类、艺术类专科批次志愿。</w:t>
      </w:r>
    </w:p>
    <w:p>
      <w:pPr>
        <w:pStyle w:val="6"/>
        <w:widowControl w:val="0"/>
        <w:spacing w:before="0" w:beforeAutospacing="0" w:after="0" w:afterAutospacing="0" w:line="540" w:lineRule="exact"/>
        <w:ind w:firstLine="640" w:firstLineChars="200"/>
        <w:jc w:val="both"/>
        <w:rPr>
          <w:rFonts w:hint="default" w:ascii="Times New Roman" w:hAnsi="Times New Roman" w:eastAsia="仿宋_GB2312"/>
          <w:color w:val="000000"/>
          <w:kern w:val="2"/>
          <w:sz w:val="32"/>
          <w:szCs w:val="32"/>
        </w:rPr>
      </w:pPr>
      <w:r>
        <w:rPr>
          <w:rFonts w:hint="default" w:ascii="Times New Roman" w:hAnsi="Times New Roman" w:eastAsia="仿宋_GB2312"/>
          <w:color w:val="000000"/>
          <w:sz w:val="32"/>
          <w:szCs w:val="32"/>
        </w:rPr>
        <w:t>2.征求志愿。在各批次平行志愿[含艺术类传统（顺序）志愿]录取结束后，省教育考试院将及时公布未完成招生计划的院校专业组、专业（类）及计划数。未被录取的考生在规定时间内自行上网填报征求志愿。</w:t>
      </w:r>
    </w:p>
    <w:p>
      <w:pPr>
        <w:spacing w:line="540" w:lineRule="exact"/>
        <w:ind w:firstLine="640" w:firstLineChars="200"/>
        <w:rPr>
          <w:rFonts w:eastAsia="仿宋_GB2312"/>
          <w:color w:val="000000"/>
          <w:sz w:val="32"/>
          <w:szCs w:val="32"/>
        </w:rPr>
      </w:pPr>
      <w:r>
        <w:rPr>
          <w:rFonts w:eastAsia="仿宋_GB2312"/>
          <w:color w:val="000000"/>
          <w:sz w:val="32"/>
          <w:szCs w:val="32"/>
        </w:rPr>
        <w:t>考生应认真阅读有关高校招生章程以及我省公布的招生规定、招生计划，按有关规定和要求填报院校专业组和专业（类）志愿，并对所填报志愿的真实性和准确性负责。考生应妥善保管登录密码等个人信息，因考生本人疏漏或失误造成的后果，由考生本人承担。</w:t>
      </w:r>
    </w:p>
    <w:p>
      <w:pPr>
        <w:spacing w:line="540" w:lineRule="exact"/>
        <w:ind w:firstLine="640" w:firstLineChars="200"/>
        <w:rPr>
          <w:rFonts w:eastAsia="仿宋_GB2312"/>
          <w:color w:val="000000"/>
          <w:sz w:val="32"/>
          <w:szCs w:val="32"/>
        </w:rPr>
      </w:pPr>
      <w:r>
        <w:rPr>
          <w:rFonts w:eastAsia="仿宋_GB2312"/>
          <w:color w:val="000000"/>
          <w:sz w:val="32"/>
          <w:szCs w:val="32"/>
        </w:rPr>
        <w:t>（四）体育类、艺术类考生可兼报普通类本科批次和专科批次志愿。</w:t>
      </w:r>
    </w:p>
    <w:p>
      <w:pPr>
        <w:spacing w:line="540" w:lineRule="exact"/>
        <w:ind w:firstLine="672" w:firstLineChars="210"/>
        <w:rPr>
          <w:rFonts w:eastAsia="仿宋_GB2312"/>
          <w:color w:val="000000"/>
          <w:sz w:val="32"/>
          <w:szCs w:val="32"/>
        </w:rPr>
      </w:pPr>
      <w:r>
        <w:rPr>
          <w:rFonts w:eastAsia="仿宋_GB2312"/>
          <w:color w:val="000000"/>
          <w:sz w:val="32"/>
          <w:szCs w:val="32"/>
        </w:rPr>
        <w:t>（五）考生填报志愿时，应根据报考科类、院校专业组及专业（类）对考生的学业水平考试科目要求和成绩要求，以及考生本人的体检结论等情况，慎重选择，准确填报。</w:t>
      </w:r>
    </w:p>
    <w:p>
      <w:pPr>
        <w:spacing w:line="540" w:lineRule="exact"/>
        <w:ind w:firstLine="672" w:firstLineChars="210"/>
        <w:rPr>
          <w:rFonts w:eastAsia="仿宋_GB2312"/>
          <w:color w:val="000000"/>
          <w:sz w:val="32"/>
          <w:szCs w:val="32"/>
        </w:rPr>
      </w:pPr>
      <w:r>
        <w:rPr>
          <w:rFonts w:eastAsia="仿宋_GB2312"/>
          <w:color w:val="000000"/>
          <w:sz w:val="32"/>
          <w:szCs w:val="32"/>
        </w:rPr>
        <w:t>（六）考生必须在规定的时间内凭考籍号、身份证号、密码和动态口令卡网上填报平行志愿[含艺术类传统（顺序）志愿]和征求志愿，并对自己所填报信息的准确性和安全性负责，不需要现场签字确认志愿信息。填报志愿截止时间前，考生可上网修改自己的志愿信息。填报志愿时间截止后，任何人不得擅自更改考生志愿信息。</w:t>
      </w:r>
    </w:p>
    <w:p>
      <w:pPr>
        <w:spacing w:line="540" w:lineRule="exact"/>
        <w:ind w:firstLine="672" w:firstLineChars="210"/>
        <w:rPr>
          <w:rFonts w:eastAsia="仿宋_GB2312"/>
          <w:color w:val="000000"/>
          <w:sz w:val="32"/>
          <w:szCs w:val="32"/>
        </w:rPr>
      </w:pPr>
      <w:r>
        <w:rPr>
          <w:rFonts w:eastAsia="仿宋_GB2312"/>
          <w:color w:val="000000"/>
          <w:sz w:val="32"/>
          <w:szCs w:val="32"/>
        </w:rPr>
        <w:t>（七）各设区市、县（市、区）教育行政部门、招办、中学及有关单位要结合本意见的有关规定，认真做好考生填报志愿的宣传、组织和指导工作。</w:t>
      </w:r>
    </w:p>
    <w:p>
      <w:pPr>
        <w:spacing w:line="540" w:lineRule="exact"/>
        <w:ind w:firstLine="640" w:firstLineChars="200"/>
        <w:rPr>
          <w:rFonts w:eastAsia="仿宋_GB2312"/>
          <w:color w:val="000000"/>
          <w:sz w:val="32"/>
          <w:szCs w:val="32"/>
        </w:rPr>
      </w:pPr>
      <w:r>
        <w:rPr>
          <w:rFonts w:eastAsia="仿宋_GB2312"/>
          <w:color w:val="000000"/>
          <w:sz w:val="32"/>
          <w:szCs w:val="32"/>
        </w:rPr>
        <w:t>（八）强基计划、高校专项计划、综合评价、高水平艺术团、高水平运动队等特殊类型招生的志愿填报，按教育部及我省相关文件执行。其中，高校专项计划、综合评价、高水平艺术团、高水平运动队4类志愿之间不得兼报；符合多项入选资格的，只能选择其一填报。</w:t>
      </w:r>
    </w:p>
    <w:p>
      <w:pPr>
        <w:spacing w:line="540" w:lineRule="exact"/>
        <w:ind w:firstLine="640" w:firstLineChars="200"/>
        <w:rPr>
          <w:rFonts w:eastAsia="仿宋_GB2312"/>
          <w:color w:val="000000"/>
          <w:sz w:val="32"/>
          <w:szCs w:val="32"/>
        </w:rPr>
      </w:pPr>
      <w:r>
        <w:rPr>
          <w:rFonts w:eastAsia="仿宋_GB2312"/>
          <w:color w:val="000000"/>
          <w:sz w:val="32"/>
          <w:szCs w:val="32"/>
        </w:rPr>
        <w:t>（九）报考少年班、残疾单招、体育单招等考生，因有特殊要求或其中学阶段学习经历与普通高中学生不同，由招生高校自主确定成绩要求、自主确定志愿填报方式。</w:t>
      </w:r>
    </w:p>
    <w:p>
      <w:pPr>
        <w:spacing w:line="540" w:lineRule="exact"/>
        <w:ind w:firstLine="640" w:firstLineChars="200"/>
        <w:rPr>
          <w:rFonts w:eastAsia="仿宋_GB2312"/>
          <w:color w:val="000000"/>
          <w:sz w:val="32"/>
          <w:szCs w:val="32"/>
        </w:rPr>
      </w:pPr>
      <w:r>
        <w:rPr>
          <w:rFonts w:eastAsia="仿宋_GB2312"/>
          <w:color w:val="000000"/>
          <w:sz w:val="32"/>
          <w:szCs w:val="32"/>
        </w:rPr>
        <w:t>（十）根据教育部规定，从2023年起，往年被专项计划（含高校专项计划和地方专项计划，下同）录取后放弃入学资格或退学的考生，不再具有专项计划报考资格。</w:t>
      </w:r>
    </w:p>
    <w:p>
      <w:pPr>
        <w:pStyle w:val="25"/>
        <w:widowControl w:val="0"/>
        <w:spacing w:before="0" w:beforeAutospacing="0" w:after="0" w:afterAutospacing="0" w:line="540" w:lineRule="exact"/>
        <w:ind w:firstLine="640" w:firstLineChars="200"/>
        <w:jc w:val="both"/>
        <w:rPr>
          <w:rFonts w:hint="default" w:ascii="Times New Roman" w:hAnsi="Times New Roman" w:eastAsia="黑体"/>
          <w:bCs/>
          <w:color w:val="000000"/>
          <w:sz w:val="32"/>
          <w:szCs w:val="32"/>
        </w:rPr>
      </w:pPr>
      <w:r>
        <w:rPr>
          <w:rFonts w:hint="default" w:ascii="Times New Roman" w:hAnsi="Times New Roman" w:eastAsia="黑体"/>
          <w:bCs/>
          <w:color w:val="000000"/>
          <w:sz w:val="32"/>
          <w:szCs w:val="32"/>
        </w:rPr>
        <w:t>十一、录取</w:t>
      </w:r>
    </w:p>
    <w:p>
      <w:pPr>
        <w:spacing w:line="540" w:lineRule="exact"/>
        <w:ind w:firstLine="640" w:firstLineChars="200"/>
        <w:rPr>
          <w:rFonts w:eastAsia="仿宋_GB2312"/>
          <w:color w:val="000000"/>
          <w:sz w:val="32"/>
          <w:szCs w:val="32"/>
        </w:rPr>
      </w:pPr>
      <w:r>
        <w:rPr>
          <w:rFonts w:eastAsia="仿宋_GB2312"/>
          <w:color w:val="000000"/>
          <w:sz w:val="32"/>
          <w:szCs w:val="32"/>
        </w:rPr>
        <w:t>高校招生录取工作在教育部和省招委会领导下，由省教育考试院统一组织，实施远程网上录取。录取工作必须坚持“公平、公正、公开”的原则，必须坚持以文化考试成绩为主，德智体美劳全面考核，综合评价，择优录取。高校依据统一高考成绩以及学业水平考试成绩，参考高中阶段综合素质评价进行录取。</w:t>
      </w:r>
    </w:p>
    <w:p>
      <w:pPr>
        <w:spacing w:line="540" w:lineRule="exact"/>
        <w:ind w:firstLine="640" w:firstLineChars="200"/>
        <w:rPr>
          <w:rFonts w:eastAsia="仿宋_GB2312"/>
          <w:color w:val="000000"/>
          <w:sz w:val="32"/>
          <w:szCs w:val="32"/>
        </w:rPr>
      </w:pPr>
      <w:r>
        <w:rPr>
          <w:rFonts w:eastAsia="仿宋_GB2312"/>
          <w:color w:val="000000"/>
          <w:sz w:val="32"/>
          <w:szCs w:val="32"/>
        </w:rPr>
        <w:t>（一）录取体制</w:t>
      </w:r>
    </w:p>
    <w:p>
      <w:pPr>
        <w:spacing w:line="540" w:lineRule="exact"/>
        <w:ind w:firstLine="640" w:firstLineChars="200"/>
        <w:rPr>
          <w:rFonts w:eastAsia="仿宋_GB2312"/>
          <w:color w:val="000000"/>
          <w:sz w:val="32"/>
          <w:szCs w:val="32"/>
        </w:rPr>
      </w:pPr>
      <w:r>
        <w:rPr>
          <w:rFonts w:eastAsia="仿宋_GB2312"/>
          <w:color w:val="000000"/>
          <w:sz w:val="32"/>
          <w:szCs w:val="32"/>
        </w:rPr>
        <w:t>高校和省教育考试院按照“高校负责、省教育考试院监督”的录取体制实施新生录取工作。对思想政治品德考核合格、身体状况符合相关专业培养要求、投档成绩达到同批省录取控制分数线并符合投档要求的考生，省教育考试院按高校提出的调阅考生档案的比例向其投放考生电子档案，调档比例原则上控制在105%以内。高校根据其公布的招生章程中确定的录取规则对进档考生进行排序，决定考生录取与否及所录取专业，并负责对未录取考生的解释及其他遗留问题的处理。</w:t>
      </w:r>
    </w:p>
    <w:p>
      <w:pPr>
        <w:spacing w:line="540" w:lineRule="exact"/>
        <w:ind w:firstLine="640" w:firstLineChars="200"/>
        <w:rPr>
          <w:rFonts w:eastAsia="仿宋_GB2312"/>
          <w:color w:val="000000"/>
          <w:sz w:val="32"/>
          <w:szCs w:val="32"/>
        </w:rPr>
      </w:pPr>
      <w:r>
        <w:rPr>
          <w:rFonts w:eastAsia="仿宋_GB2312"/>
          <w:color w:val="000000"/>
          <w:sz w:val="32"/>
          <w:szCs w:val="32"/>
        </w:rPr>
        <w:t>省教育考试院负责向高校投放合格生源电子档案，并监督高校执行国家招生政策、招生计划，防止、纠正违反国家招生政策、规定的行为。</w:t>
      </w:r>
    </w:p>
    <w:p>
      <w:pPr>
        <w:spacing w:line="540" w:lineRule="exact"/>
        <w:ind w:firstLine="640" w:firstLineChars="200"/>
        <w:rPr>
          <w:rFonts w:eastAsia="仿宋_GB2312"/>
          <w:color w:val="000000"/>
          <w:sz w:val="32"/>
          <w:szCs w:val="32"/>
        </w:rPr>
      </w:pPr>
      <w:r>
        <w:rPr>
          <w:rFonts w:eastAsia="仿宋_GB2312"/>
          <w:color w:val="000000"/>
          <w:sz w:val="32"/>
          <w:szCs w:val="32"/>
        </w:rPr>
        <w:t>（二）划线办法</w:t>
      </w:r>
    </w:p>
    <w:p>
      <w:pPr>
        <w:adjustRightInd w:val="0"/>
        <w:snapToGrid w:val="0"/>
        <w:spacing w:line="540" w:lineRule="exact"/>
        <w:ind w:firstLine="640" w:firstLineChars="200"/>
        <w:rPr>
          <w:rFonts w:eastAsia="仿宋_GB2312"/>
          <w:color w:val="000000"/>
          <w:sz w:val="32"/>
          <w:szCs w:val="32"/>
        </w:rPr>
      </w:pPr>
      <w:r>
        <w:rPr>
          <w:rFonts w:eastAsia="仿宋_GB2312"/>
          <w:color w:val="000000"/>
          <w:sz w:val="32"/>
          <w:szCs w:val="32"/>
        </w:rPr>
        <w:t>普通类本、专科录取控制分数线按照普通类（历史等科目类）、普通类（物理等科目类）本科和专科层次招生计划的一定比例，并结合生源情况等因素分别划定。</w:t>
      </w:r>
    </w:p>
    <w:p>
      <w:pPr>
        <w:adjustRightInd w:val="0"/>
        <w:snapToGrid w:val="0"/>
        <w:spacing w:line="540" w:lineRule="exact"/>
        <w:ind w:firstLine="640" w:firstLineChars="200"/>
        <w:rPr>
          <w:rFonts w:eastAsia="仿宋_GB2312"/>
          <w:color w:val="000000"/>
          <w:sz w:val="32"/>
          <w:szCs w:val="32"/>
        </w:rPr>
      </w:pPr>
      <w:r>
        <w:rPr>
          <w:rFonts w:eastAsia="仿宋_GB2312"/>
          <w:color w:val="000000"/>
          <w:sz w:val="32"/>
          <w:szCs w:val="32"/>
        </w:rPr>
        <w:t>特殊类型招生控制线按照普通类（历史等科目类）、普通类（物理等科目类），参照高考综合改革前文理科类本一批次招生计划比例分别划定。</w:t>
      </w:r>
    </w:p>
    <w:p>
      <w:pPr>
        <w:adjustRightInd w:val="0"/>
        <w:snapToGrid w:val="0"/>
        <w:spacing w:line="540" w:lineRule="exact"/>
        <w:ind w:firstLine="640" w:firstLineChars="200"/>
        <w:rPr>
          <w:rFonts w:eastAsia="仿宋_GB2312"/>
          <w:color w:val="000000"/>
          <w:sz w:val="32"/>
          <w:szCs w:val="32"/>
        </w:rPr>
      </w:pPr>
      <w:r>
        <w:rPr>
          <w:rFonts w:eastAsia="仿宋_GB2312"/>
          <w:color w:val="000000"/>
          <w:sz w:val="32"/>
          <w:szCs w:val="32"/>
        </w:rPr>
        <w:t>体育类</w:t>
      </w:r>
      <w:r>
        <w:rPr>
          <w:rFonts w:eastAsia="仿宋_GB2312"/>
          <w:color w:val="000000"/>
          <w:kern w:val="0"/>
          <w:sz w:val="32"/>
          <w:szCs w:val="32"/>
        </w:rPr>
        <w:t>本、专</w:t>
      </w:r>
      <w:r>
        <w:rPr>
          <w:rFonts w:eastAsia="仿宋_GB2312"/>
          <w:color w:val="000000"/>
          <w:sz w:val="32"/>
          <w:szCs w:val="32"/>
        </w:rPr>
        <w:t>科录取控制分数线按照体育类（历史等科目类）、体育类（物理等科目类）</w:t>
      </w:r>
      <w:r>
        <w:rPr>
          <w:rFonts w:eastAsia="仿宋_GB2312"/>
          <w:color w:val="000000"/>
          <w:kern w:val="0"/>
          <w:sz w:val="32"/>
          <w:szCs w:val="32"/>
        </w:rPr>
        <w:t>本科和专科层次招生计划的一定比例，依据考生文化分、专业分等分别划定。</w:t>
      </w:r>
    </w:p>
    <w:p>
      <w:pPr>
        <w:spacing w:line="540" w:lineRule="exact"/>
        <w:ind w:firstLine="640" w:firstLineChars="200"/>
        <w:rPr>
          <w:rFonts w:eastAsia="仿宋_GB2312"/>
          <w:color w:val="000000"/>
          <w:sz w:val="32"/>
          <w:szCs w:val="32"/>
        </w:rPr>
      </w:pPr>
      <w:r>
        <w:rPr>
          <w:rFonts w:eastAsia="仿宋_GB2312"/>
          <w:color w:val="000000"/>
          <w:sz w:val="32"/>
          <w:szCs w:val="32"/>
        </w:rPr>
        <w:t>艺术类</w:t>
      </w:r>
      <w:r>
        <w:rPr>
          <w:rFonts w:eastAsia="仿宋_GB2312"/>
          <w:color w:val="000000"/>
          <w:kern w:val="0"/>
          <w:sz w:val="32"/>
          <w:szCs w:val="32"/>
        </w:rPr>
        <w:t>本、专科录取控制分数线按照艺术类（历史等科目类）、艺术类（物理等科目类）以及不同专业类别[美术类省统考、音乐类（声乐、器乐）省统考、广播电视编导专业省统考、艺术类专业校考]本科和专科层次招生计划的一定比例，依据考生文化分、专业分等分别划定。</w:t>
      </w:r>
    </w:p>
    <w:p>
      <w:pPr>
        <w:spacing w:line="540" w:lineRule="exact"/>
        <w:ind w:firstLine="640" w:firstLineChars="200"/>
        <w:rPr>
          <w:rFonts w:eastAsia="仿宋_GB2312"/>
          <w:color w:val="000000"/>
          <w:sz w:val="32"/>
          <w:szCs w:val="32"/>
        </w:rPr>
      </w:pPr>
      <w:r>
        <w:rPr>
          <w:rFonts w:eastAsia="仿宋_GB2312"/>
          <w:color w:val="000000"/>
          <w:sz w:val="32"/>
          <w:szCs w:val="32"/>
        </w:rPr>
        <w:t>（三）投档规则</w:t>
      </w:r>
    </w:p>
    <w:p>
      <w:pPr>
        <w:spacing w:line="540" w:lineRule="exact"/>
        <w:ind w:firstLine="640" w:firstLineChars="200"/>
        <w:rPr>
          <w:rFonts w:eastAsia="仿宋_GB2312"/>
          <w:color w:val="000000"/>
          <w:sz w:val="32"/>
          <w:szCs w:val="32"/>
        </w:rPr>
      </w:pPr>
      <w:r>
        <w:rPr>
          <w:rFonts w:eastAsia="仿宋_GB2312"/>
          <w:color w:val="000000"/>
          <w:sz w:val="32"/>
          <w:szCs w:val="32"/>
        </w:rPr>
        <w:t>1.普通类、体育类各批次以及艺术类使用省统考成绩录取的专业实行平行志愿投档方式，分历史等科目类、物理等科目类，按照“按分排序，遵循志愿”的原则进行投档。</w:t>
      </w:r>
    </w:p>
    <w:p>
      <w:pPr>
        <w:spacing w:line="540" w:lineRule="exact"/>
        <w:ind w:firstLine="640" w:firstLineChars="200"/>
        <w:rPr>
          <w:rFonts w:eastAsia="仿宋_GB2312"/>
          <w:color w:val="000000"/>
          <w:sz w:val="32"/>
          <w:szCs w:val="32"/>
        </w:rPr>
      </w:pPr>
      <w:r>
        <w:rPr>
          <w:rFonts w:eastAsia="仿宋_GB2312"/>
          <w:color w:val="000000"/>
          <w:sz w:val="32"/>
          <w:szCs w:val="32"/>
        </w:rPr>
        <w:t>平行志愿具体投档办法：将省控线上的考生，分科类，按照历史等科目类、物理等科目类，由总分从高分到低分的顺序，依次检索考生所填</w:t>
      </w:r>
      <w:r>
        <w:rPr>
          <w:rFonts w:eastAsia="仿宋_GB2312"/>
          <w:color w:val="000000"/>
          <w:kern w:val="0"/>
          <w:sz w:val="32"/>
        </w:rPr>
        <w:t>20或40个院校专业组</w:t>
      </w:r>
      <w:r>
        <w:rPr>
          <w:rFonts w:eastAsia="仿宋_GB2312"/>
          <w:color w:val="000000"/>
          <w:sz w:val="32"/>
          <w:szCs w:val="32"/>
        </w:rPr>
        <w:t>志愿。只要被检索的20或40个院校专业组志愿中出现符合投档条件的院校专业组，即向该院校专业组投档；如没有出现符合投档条件的院校专业组，则不能投档。上述过程完成后，无论档案是否投出，均视为该考生已享受了本批次平行志愿投档机会。如果考生档案投到某院校专业组后，因故被退出，将不再补投到该批次平行志愿的其他后续院校专业组。</w:t>
      </w:r>
    </w:p>
    <w:p>
      <w:pPr>
        <w:spacing w:line="540" w:lineRule="exact"/>
        <w:ind w:firstLine="640" w:firstLineChars="200"/>
        <w:rPr>
          <w:rFonts w:eastAsia="仿宋_GB2312"/>
          <w:color w:val="000000"/>
          <w:sz w:val="32"/>
          <w:szCs w:val="32"/>
        </w:rPr>
      </w:pPr>
      <w:r>
        <w:rPr>
          <w:rFonts w:eastAsia="仿宋_GB2312"/>
          <w:color w:val="000000"/>
          <w:sz w:val="32"/>
          <w:szCs w:val="32"/>
        </w:rPr>
        <w:t>普通类考生的投档分为高考文化分。体育类、艺术类考生的投档分由高考文化分和专业分按一定比例构成，具体为：</w:t>
      </w:r>
    </w:p>
    <w:p>
      <w:pPr>
        <w:spacing w:line="540" w:lineRule="exact"/>
        <w:ind w:firstLine="640" w:firstLineChars="200"/>
        <w:rPr>
          <w:rFonts w:eastAsia="仿宋_GB2312"/>
          <w:color w:val="000000"/>
          <w:sz w:val="32"/>
          <w:szCs w:val="32"/>
        </w:rPr>
      </w:pPr>
      <w:r>
        <w:rPr>
          <w:rFonts w:eastAsia="仿宋_GB2312"/>
          <w:color w:val="000000"/>
          <w:sz w:val="32"/>
          <w:szCs w:val="32"/>
        </w:rPr>
        <w:t>体育类：投档分= [（高考文化分÷文化满分）×0.7+（专业分÷专业满分）×0.3]×750，结果四舍五入取整。</w:t>
      </w:r>
    </w:p>
    <w:p>
      <w:pPr>
        <w:spacing w:line="540" w:lineRule="exact"/>
        <w:ind w:firstLine="640" w:firstLineChars="200"/>
        <w:rPr>
          <w:rFonts w:eastAsia="仿宋_GB2312"/>
          <w:color w:val="000000"/>
          <w:sz w:val="32"/>
          <w:szCs w:val="32"/>
        </w:rPr>
      </w:pPr>
      <w:r>
        <w:rPr>
          <w:rFonts w:eastAsia="仿宋_GB2312"/>
          <w:color w:val="000000"/>
          <w:sz w:val="32"/>
          <w:szCs w:val="32"/>
        </w:rPr>
        <w:t>美术类、广播电视编导专业：投档分=[（高考文化分÷文化满分）×0.6+（专业分÷专业满分）×0.4]×750，结果四舍五入取整。</w:t>
      </w:r>
    </w:p>
    <w:p>
      <w:pPr>
        <w:spacing w:line="540" w:lineRule="exact"/>
        <w:ind w:firstLine="640" w:firstLineChars="200"/>
        <w:rPr>
          <w:rFonts w:eastAsia="仿宋_GB2312"/>
          <w:color w:val="000000"/>
          <w:sz w:val="32"/>
          <w:szCs w:val="32"/>
        </w:rPr>
      </w:pPr>
      <w:r>
        <w:rPr>
          <w:rFonts w:eastAsia="仿宋_GB2312"/>
          <w:color w:val="000000"/>
          <w:sz w:val="32"/>
          <w:szCs w:val="32"/>
        </w:rPr>
        <w:t>音乐类：投档分为专业分。</w:t>
      </w:r>
    </w:p>
    <w:p>
      <w:pPr>
        <w:spacing w:line="540" w:lineRule="exact"/>
        <w:ind w:firstLine="640" w:firstLineChars="200"/>
        <w:rPr>
          <w:rFonts w:eastAsia="仿宋_GB2312"/>
          <w:color w:val="000000"/>
          <w:sz w:val="32"/>
          <w:szCs w:val="32"/>
        </w:rPr>
      </w:pPr>
      <w:r>
        <w:rPr>
          <w:rFonts w:eastAsia="仿宋_GB2312"/>
          <w:color w:val="000000"/>
          <w:sz w:val="32"/>
          <w:szCs w:val="32"/>
        </w:rPr>
        <w:t>2.对于高校专项计划、综合评价、高水平艺术团、高水平运动队等特殊类型，以及艺术类使用校考成绩录取的专业，省教育考试院按院校要求，将填报了相关志愿且符合条件的考生投档给院校，由院校根据向社会公布的规则进行录取。</w:t>
      </w:r>
    </w:p>
    <w:p>
      <w:pPr>
        <w:spacing w:line="540" w:lineRule="exact"/>
        <w:ind w:firstLine="640" w:firstLineChars="200"/>
        <w:rPr>
          <w:rFonts w:eastAsia="仿宋_GB2312"/>
          <w:color w:val="000000"/>
          <w:sz w:val="32"/>
          <w:szCs w:val="32"/>
        </w:rPr>
      </w:pPr>
      <w:bookmarkStart w:id="3" w:name="OLE_LINK1"/>
      <w:r>
        <w:rPr>
          <w:rFonts w:eastAsia="仿宋_GB2312"/>
          <w:color w:val="000000"/>
          <w:sz w:val="32"/>
          <w:szCs w:val="32"/>
        </w:rPr>
        <w:t>3.同分排序规则：在投档过程中，普通类考生投档分相同时，依次按语文数学两科之和、语文或数学单科最高成绩、外语单科成绩、首选科目单科成绩、再选科目单科最高成绩由高到低排序投档；如仍相同，比较考生志愿顺序，顺序在前者优先投档，志愿顺序相同则全部投档。</w:t>
      </w:r>
    </w:p>
    <w:bookmarkEnd w:id="3"/>
    <w:p>
      <w:pPr>
        <w:spacing w:line="540" w:lineRule="exact"/>
        <w:ind w:firstLine="640" w:firstLineChars="200"/>
        <w:rPr>
          <w:rFonts w:eastAsia="仿宋_GB2312"/>
          <w:color w:val="000000"/>
          <w:sz w:val="32"/>
          <w:szCs w:val="32"/>
        </w:rPr>
      </w:pPr>
      <w:r>
        <w:rPr>
          <w:rFonts w:eastAsia="仿宋_GB2312"/>
          <w:color w:val="000000"/>
          <w:sz w:val="32"/>
          <w:szCs w:val="32"/>
        </w:rPr>
        <w:t>体育类、艺术类考生投档分相同时，依次按高考文化分、语文数学两科之和、语文或数学单科最高成绩、外语单科成绩、首选科目单科成绩、再选科目单科最高成绩由高到低排序投档；如仍相同，比较考生志愿顺序，顺序在前者优先投档，志愿顺序相同则全部投档。</w:t>
      </w:r>
    </w:p>
    <w:p>
      <w:pPr>
        <w:spacing w:line="540" w:lineRule="exact"/>
        <w:ind w:firstLine="640" w:firstLineChars="200"/>
        <w:rPr>
          <w:rFonts w:eastAsia="仿宋_GB2312"/>
          <w:color w:val="000000"/>
          <w:sz w:val="32"/>
          <w:szCs w:val="32"/>
        </w:rPr>
      </w:pPr>
      <w:r>
        <w:rPr>
          <w:rFonts w:eastAsia="仿宋_GB2312"/>
          <w:color w:val="000000"/>
          <w:sz w:val="32"/>
          <w:szCs w:val="32"/>
        </w:rPr>
        <w:t>（四）关于政策性降分录取</w:t>
      </w:r>
    </w:p>
    <w:p>
      <w:pPr>
        <w:spacing w:line="540" w:lineRule="exact"/>
        <w:ind w:firstLine="640" w:firstLineChars="200"/>
        <w:rPr>
          <w:rFonts w:eastAsia="仿宋_GB2312"/>
          <w:color w:val="000000"/>
          <w:sz w:val="32"/>
          <w:szCs w:val="32"/>
        </w:rPr>
      </w:pPr>
      <w:bookmarkStart w:id="4" w:name="_Hlk68856870"/>
      <w:r>
        <w:rPr>
          <w:rFonts w:eastAsia="仿宋_GB2312"/>
          <w:color w:val="000000"/>
          <w:sz w:val="32"/>
          <w:szCs w:val="32"/>
        </w:rPr>
        <w:t>在各批次平行志愿[含艺术类传统（顺序）志愿]录取后、考生填报征求志愿时，允许相应批次省控线（文化分）下一定分值以内考生填报。在征求志愿录取后，如有少数院校线上生源仍不足，不能完成招生计划，对本批次填报征求志愿中填有缺额院校志愿的考生，按其志愿，适当降分向缺额院校投档，由院校择优录取。各批次最大降分幅度不超过20分。</w:t>
      </w:r>
    </w:p>
    <w:bookmarkEnd w:id="4"/>
    <w:p>
      <w:pPr>
        <w:spacing w:line="540" w:lineRule="exact"/>
        <w:ind w:firstLine="640" w:firstLineChars="200"/>
        <w:rPr>
          <w:rFonts w:eastAsia="仿宋_GB2312"/>
          <w:color w:val="000000"/>
          <w:sz w:val="32"/>
          <w:szCs w:val="32"/>
        </w:rPr>
      </w:pPr>
      <w:r>
        <w:rPr>
          <w:rFonts w:eastAsia="仿宋_GB2312"/>
          <w:color w:val="000000"/>
          <w:sz w:val="32"/>
          <w:szCs w:val="32"/>
        </w:rPr>
        <w:t>（五）补录</w:t>
      </w:r>
    </w:p>
    <w:p>
      <w:pPr>
        <w:spacing w:line="540" w:lineRule="exact"/>
        <w:ind w:firstLine="640" w:firstLineChars="200"/>
        <w:rPr>
          <w:rFonts w:eastAsia="仿宋_GB2312"/>
          <w:color w:val="000000"/>
          <w:sz w:val="32"/>
          <w:szCs w:val="32"/>
        </w:rPr>
      </w:pPr>
      <w:bookmarkStart w:id="5" w:name="_Hlk68857147"/>
      <w:r>
        <w:rPr>
          <w:rFonts w:eastAsia="仿宋_GB2312"/>
          <w:color w:val="000000"/>
          <w:sz w:val="32"/>
          <w:szCs w:val="32"/>
        </w:rPr>
        <w:t>在统招录取工作结束后，对未完成计划的专科院校组织进行补录，具体办法另行公布。</w:t>
      </w:r>
    </w:p>
    <w:bookmarkEnd w:id="5"/>
    <w:p>
      <w:pPr>
        <w:spacing w:line="540" w:lineRule="exact"/>
        <w:ind w:firstLine="640" w:firstLineChars="200"/>
        <w:rPr>
          <w:rFonts w:eastAsia="仿宋_GB2312"/>
          <w:color w:val="000000"/>
          <w:sz w:val="32"/>
          <w:szCs w:val="32"/>
        </w:rPr>
      </w:pPr>
      <w:r>
        <w:rPr>
          <w:rFonts w:eastAsia="仿宋_GB2312"/>
          <w:color w:val="000000"/>
          <w:sz w:val="32"/>
          <w:szCs w:val="32"/>
        </w:rPr>
        <w:t>（六）录取要求</w:t>
      </w:r>
    </w:p>
    <w:p>
      <w:pPr>
        <w:spacing w:line="540" w:lineRule="exact"/>
        <w:ind w:firstLine="640" w:firstLineChars="200"/>
        <w:rPr>
          <w:rFonts w:eastAsia="仿宋_GB2312"/>
          <w:color w:val="000000"/>
          <w:sz w:val="32"/>
          <w:szCs w:val="32"/>
        </w:rPr>
      </w:pPr>
      <w:r>
        <w:rPr>
          <w:rFonts w:eastAsia="仿宋_GB2312"/>
          <w:color w:val="000000"/>
          <w:sz w:val="32"/>
          <w:szCs w:val="32"/>
        </w:rPr>
        <w:t>高校录取新生须按规定程序，按时完成提档、阅档、审核、预录、退档等各环节工作，保证考生电子档案的正常周转和录取工作的顺利进行。对超过时间未按要求完成相关工作，并经省教育考试院联系后仍无故拒绝联系或故意拖延时间的高校，省教育考试院可根据所发出的考生电子档案，按有关高校招生计划数及录取规则，设置考生电子档案为预录取状态，同时，立即书面通知有关高校，并将有关情况上报教育部备案。</w:t>
      </w:r>
    </w:p>
    <w:p>
      <w:pPr>
        <w:spacing w:line="540" w:lineRule="exact"/>
        <w:ind w:firstLine="640" w:firstLineChars="200"/>
        <w:rPr>
          <w:rFonts w:eastAsia="仿宋_GB2312"/>
          <w:color w:val="000000"/>
          <w:sz w:val="32"/>
          <w:szCs w:val="32"/>
        </w:rPr>
      </w:pPr>
      <w:r>
        <w:rPr>
          <w:rFonts w:eastAsia="仿宋_GB2312"/>
          <w:color w:val="000000"/>
          <w:sz w:val="32"/>
          <w:szCs w:val="32"/>
        </w:rPr>
        <w:t>除军事、国防和公共安全等部分特殊院校（专业）外，高校不得规定男女生录取比例，不得对报考非外国语言文学类专业的考生作统考外语语种限制，不得在国家招生政策规定外作其他限制。对高考成绩达到要求、身体条件能够完成所报专业学习、生活能够自理的残疾考生，高校不能仅因其残疾而不予录取。</w:t>
      </w:r>
    </w:p>
    <w:p>
      <w:pPr>
        <w:spacing w:line="540" w:lineRule="exact"/>
        <w:ind w:firstLine="640" w:firstLineChars="200"/>
        <w:rPr>
          <w:rFonts w:eastAsia="仿宋_GB2312"/>
          <w:color w:val="000000"/>
          <w:sz w:val="32"/>
          <w:szCs w:val="32"/>
        </w:rPr>
      </w:pPr>
      <w:r>
        <w:rPr>
          <w:rFonts w:eastAsia="仿宋_GB2312"/>
          <w:color w:val="000000"/>
          <w:sz w:val="32"/>
          <w:szCs w:val="32"/>
        </w:rPr>
        <w:t>高校将拟录取考生名单报省教育考试院核准。省教育考试院核准备案后形成录取考生名单，并加盖省教育考试院录取专用章，以此作为考生被正式录取的依据。省教育考试院将通过适当形式向社会提供录取新生名单查询。录取结束后，各高校要按照《关于对参加网上录取的普通（民办）高等学校收取网上录取费的通知》（苏价费〔2001〕191号、苏财综〔2001〕99号、苏教财〔2001〕68号）要求，及时缴纳录取费用。</w:t>
      </w:r>
    </w:p>
    <w:p>
      <w:pPr>
        <w:spacing w:line="540" w:lineRule="exact"/>
        <w:ind w:firstLine="640" w:firstLineChars="200"/>
        <w:rPr>
          <w:rFonts w:eastAsia="仿宋_GB2312"/>
          <w:color w:val="000000"/>
          <w:sz w:val="32"/>
          <w:szCs w:val="32"/>
        </w:rPr>
      </w:pPr>
      <w:r>
        <w:rPr>
          <w:rFonts w:eastAsia="仿宋_GB2312"/>
          <w:color w:val="000000"/>
          <w:sz w:val="32"/>
          <w:szCs w:val="32"/>
        </w:rPr>
        <w:t>高校依据经省教育考试院核准备案的录取考生名册填写考生录取通知书，录取通知书由校长签发，并加盖本校校章。录取通知书，连同入学报到须知、资助政策办法等相关材料一并直接寄送被录取考生。录取通知书寄递工作要按照《教育部办公厅国家邮政局办公室关于进一步做好2020年高校录取通知书寄递工作的通知》（教学厅函〔2020〕23号）执行。</w:t>
      </w:r>
    </w:p>
    <w:p>
      <w:pPr>
        <w:spacing w:line="540" w:lineRule="exact"/>
        <w:ind w:firstLine="640" w:firstLineChars="200"/>
        <w:rPr>
          <w:rFonts w:eastAsia="仿宋_GB2312"/>
          <w:color w:val="000000"/>
          <w:sz w:val="32"/>
          <w:szCs w:val="32"/>
        </w:rPr>
      </w:pPr>
      <w:r>
        <w:rPr>
          <w:rFonts w:eastAsia="仿宋_GB2312"/>
          <w:color w:val="000000"/>
          <w:sz w:val="32"/>
          <w:szCs w:val="32"/>
        </w:rPr>
        <w:t>为妥善解决招生录取工作中各类遗留问题（如招飞、军校招生体检复查不合格等），按照有关政策规定，经省招委会批准，省教育考试院将按规定程序指定有关高校予以解决。所涉及的高校有义务配合省教育考试院做好相关工作。</w:t>
      </w:r>
    </w:p>
    <w:p>
      <w:pPr>
        <w:spacing w:line="540" w:lineRule="exact"/>
        <w:ind w:firstLine="640" w:firstLineChars="200"/>
        <w:rPr>
          <w:rFonts w:eastAsia="仿宋_GB2312"/>
          <w:color w:val="000000"/>
          <w:sz w:val="32"/>
          <w:szCs w:val="32"/>
        </w:rPr>
      </w:pPr>
      <w:r>
        <w:rPr>
          <w:rFonts w:eastAsia="仿宋_GB2312"/>
          <w:color w:val="000000"/>
          <w:sz w:val="32"/>
          <w:szCs w:val="32"/>
        </w:rPr>
        <w:t>（七）照顾政策</w:t>
      </w:r>
    </w:p>
    <w:p>
      <w:pPr>
        <w:spacing w:line="540" w:lineRule="exact"/>
        <w:ind w:right="-27" w:rightChars="-13" w:firstLine="640"/>
        <w:rPr>
          <w:rFonts w:eastAsia="仿宋_GB2312"/>
          <w:color w:val="000000"/>
          <w:sz w:val="32"/>
          <w:szCs w:val="32"/>
        </w:rPr>
      </w:pPr>
      <w:r>
        <w:rPr>
          <w:rFonts w:eastAsia="仿宋_GB2312"/>
          <w:color w:val="000000"/>
          <w:sz w:val="32"/>
          <w:szCs w:val="32"/>
        </w:rPr>
        <w:t>1.根据省教育厅等六部门《关于印发江苏省进一步深化高考加分改革工作实施方案的通知》（苏教考〔2020〕31号）规定，有下列情形之一的考生，在其文化统考成绩总分的基础上增加一定分数投档；达到高校投档条件的，由高校审查决定是否录取。同一考生如符合多项增加分数投档条件的，只能取其中幅度最大的一项分值，且不得超过20分。所有高考加分项目及分值均不得用于高校不安排分省招生计划的艺术类专业、高水平艺术团、高水平运动队、高校专项计划等招生项目。</w:t>
      </w:r>
    </w:p>
    <w:p>
      <w:pPr>
        <w:adjustRightInd w:val="0"/>
        <w:snapToGrid w:val="0"/>
        <w:spacing w:line="540" w:lineRule="exact"/>
        <w:ind w:firstLine="640"/>
        <w:rPr>
          <w:rFonts w:eastAsia="仿宋_GB2312"/>
          <w:color w:val="000000"/>
          <w:sz w:val="32"/>
          <w:szCs w:val="32"/>
        </w:rPr>
      </w:pPr>
      <w:r>
        <w:rPr>
          <w:rFonts w:eastAsia="仿宋_GB2312"/>
          <w:color w:val="000000"/>
          <w:sz w:val="32"/>
          <w:szCs w:val="32"/>
        </w:rPr>
        <w:t>（1）烈士子女，录取时加20分投档。</w:t>
      </w:r>
    </w:p>
    <w:p>
      <w:pPr>
        <w:adjustRightInd w:val="0"/>
        <w:snapToGrid w:val="0"/>
        <w:spacing w:line="540" w:lineRule="exact"/>
        <w:ind w:firstLine="640"/>
        <w:rPr>
          <w:rFonts w:eastAsia="仿宋_GB2312"/>
          <w:color w:val="000000"/>
          <w:sz w:val="32"/>
          <w:szCs w:val="32"/>
        </w:rPr>
      </w:pPr>
      <w:r>
        <w:rPr>
          <w:rFonts w:eastAsia="仿宋_GB2312"/>
          <w:color w:val="000000"/>
          <w:sz w:val="32"/>
          <w:szCs w:val="32"/>
        </w:rPr>
        <w:t>（2）在服役期间荣立二等功以上或被战区（原大军区）以上单位授予荣誉称号的退役军人，录取时加20分投档。</w:t>
      </w:r>
    </w:p>
    <w:p>
      <w:pPr>
        <w:adjustRightInd w:val="0"/>
        <w:snapToGrid w:val="0"/>
        <w:spacing w:line="540" w:lineRule="exact"/>
        <w:ind w:firstLine="640"/>
        <w:rPr>
          <w:rFonts w:eastAsia="仿宋_GB2312"/>
          <w:color w:val="000000"/>
          <w:sz w:val="32"/>
          <w:szCs w:val="32"/>
        </w:rPr>
      </w:pPr>
      <w:r>
        <w:rPr>
          <w:rFonts w:eastAsia="仿宋_GB2312"/>
          <w:color w:val="000000"/>
          <w:sz w:val="32"/>
          <w:szCs w:val="32"/>
        </w:rPr>
        <w:t>（3）归侨、华侨子女、归侨子女和台湾省籍考生（含台湾户籍考生），录取时加5分投档。</w:t>
      </w:r>
    </w:p>
    <w:p>
      <w:pPr>
        <w:adjustRightInd w:val="0"/>
        <w:snapToGrid w:val="0"/>
        <w:spacing w:line="540" w:lineRule="exact"/>
        <w:ind w:firstLine="640"/>
        <w:rPr>
          <w:rFonts w:eastAsia="仿宋_GB2312"/>
          <w:color w:val="000000"/>
          <w:sz w:val="32"/>
          <w:szCs w:val="32"/>
        </w:rPr>
      </w:pPr>
      <w:r>
        <w:rPr>
          <w:rFonts w:eastAsia="仿宋_GB2312"/>
          <w:color w:val="000000"/>
          <w:sz w:val="32"/>
          <w:szCs w:val="32"/>
        </w:rPr>
        <w:t>（4）自主就业的退役士兵，录取时加10分投档。</w:t>
      </w:r>
    </w:p>
    <w:p>
      <w:pPr>
        <w:spacing w:line="540" w:lineRule="exact"/>
        <w:ind w:firstLine="640" w:firstLineChars="200"/>
        <w:rPr>
          <w:rFonts w:eastAsia="仿宋_GB2312"/>
          <w:color w:val="000000"/>
          <w:sz w:val="32"/>
          <w:szCs w:val="32"/>
        </w:rPr>
      </w:pPr>
      <w:r>
        <w:rPr>
          <w:rFonts w:eastAsia="仿宋_GB2312"/>
          <w:color w:val="000000"/>
          <w:sz w:val="32"/>
          <w:szCs w:val="32"/>
        </w:rPr>
        <w:t>2.符合下列条件之一，达到有关高校投档要求的，在与其他考生同等条件下优先录取：</w:t>
      </w:r>
    </w:p>
    <w:p>
      <w:pPr>
        <w:spacing w:line="540" w:lineRule="exact"/>
        <w:ind w:firstLine="640" w:firstLineChars="200"/>
        <w:rPr>
          <w:rFonts w:eastAsia="仿宋_GB2312"/>
          <w:color w:val="000000"/>
          <w:sz w:val="32"/>
          <w:szCs w:val="32"/>
        </w:rPr>
      </w:pPr>
      <w:r>
        <w:rPr>
          <w:rFonts w:eastAsia="仿宋_GB2312"/>
          <w:color w:val="000000"/>
          <w:sz w:val="32"/>
          <w:szCs w:val="32"/>
        </w:rPr>
        <w:t>平时荣获二等功或者战时荣获三等功以上奖励军人的子女，一至四级残疾军人的子女，因公牺牲军人的子女，驻国家确定的三类以上艰苦边远地区和西藏自治区、解放军总部划定的二类以上岛屿工作累计满20年军人的子女，在国家确定的四类以上艰苦边远地区或者解放军总部划定的特类岛屿工作累计满10年军人的子女，在飞或停飞不满1年或达到飞行最高年限空勤军人的子女，从事舰艇工作满20年军人的子女，在航天和涉核岗位工作累计满15年军人的子女，公安英模和因公牺牲、一级至四级因公伤残公安民警子女，退出部队现役的考生，残疾人民警察，经共青团中央青年志愿者守信联合激励系统认定获得5A级青年志愿者的考生，受到市级以上人民政府或省级以上部门表彰的见义勇为人员或其子女。</w:t>
      </w:r>
    </w:p>
    <w:p>
      <w:pPr>
        <w:spacing w:line="540" w:lineRule="exact"/>
        <w:ind w:firstLine="640" w:firstLineChars="200"/>
        <w:rPr>
          <w:rFonts w:eastAsia="仿宋_GB2312"/>
          <w:color w:val="000000"/>
          <w:sz w:val="32"/>
          <w:szCs w:val="32"/>
        </w:rPr>
      </w:pPr>
      <w:r>
        <w:rPr>
          <w:rFonts w:eastAsia="仿宋_GB2312"/>
          <w:color w:val="000000"/>
          <w:sz w:val="32"/>
          <w:szCs w:val="32"/>
        </w:rPr>
        <w:t>国家综合性消防救援队伍人员及其子女参加全国统考录取的，参照军人有关优待政策执行。</w:t>
      </w:r>
      <w:r>
        <w:rPr>
          <w:rFonts w:eastAsia="仿宋_GB2312"/>
          <w:color w:val="000000"/>
          <w:kern w:val="0"/>
          <w:sz w:val="32"/>
          <w:szCs w:val="32"/>
        </w:rPr>
        <w:t>各地各部门</w:t>
      </w:r>
      <w:r>
        <w:rPr>
          <w:rFonts w:eastAsia="仿宋_GB2312"/>
          <w:snapToGrid w:val="0"/>
          <w:color w:val="000000"/>
          <w:kern w:val="0"/>
          <w:sz w:val="32"/>
          <w:szCs w:val="32"/>
        </w:rPr>
        <w:t>要</w:t>
      </w:r>
      <w:r>
        <w:rPr>
          <w:rFonts w:eastAsia="仿宋_GB2312"/>
          <w:color w:val="000000"/>
          <w:kern w:val="0"/>
          <w:sz w:val="32"/>
          <w:szCs w:val="32"/>
        </w:rPr>
        <w:t>严格落实享受照顾政策考生资格省、市、县（市、区）、校多级公示机制。省级招生考试机构、设区市、县（市、区）教育</w:t>
      </w:r>
      <w:r>
        <w:rPr>
          <w:rFonts w:eastAsia="仿宋_GB2312"/>
          <w:color w:val="000000"/>
          <w:sz w:val="32"/>
          <w:szCs w:val="32"/>
        </w:rPr>
        <w:t>行政部门及考生所在学校均须向社会明确告知公示网站，做到详实、准确、及时公示，中学还须公示到考生所在班级。未经公示的考生一律不得给予相应资格。公示时间不少于10个工作日。网上公示信息须保留到当年年底。</w:t>
      </w:r>
    </w:p>
    <w:p>
      <w:pPr>
        <w:spacing w:line="540" w:lineRule="exact"/>
        <w:ind w:firstLine="640" w:firstLineChars="200"/>
        <w:rPr>
          <w:rFonts w:eastAsia="黑体"/>
          <w:color w:val="000000"/>
          <w:sz w:val="32"/>
          <w:szCs w:val="32"/>
        </w:rPr>
      </w:pPr>
      <w:r>
        <w:rPr>
          <w:rFonts w:eastAsia="黑体"/>
          <w:color w:val="000000"/>
          <w:sz w:val="32"/>
          <w:szCs w:val="32"/>
        </w:rPr>
        <w:t>十二、特殊类型的招生</w:t>
      </w:r>
    </w:p>
    <w:p>
      <w:pPr>
        <w:spacing w:line="540" w:lineRule="exact"/>
        <w:ind w:firstLine="640" w:firstLineChars="200"/>
        <w:rPr>
          <w:rFonts w:eastAsia="仿宋_GB2312"/>
          <w:color w:val="000000"/>
          <w:sz w:val="32"/>
          <w:szCs w:val="32"/>
        </w:rPr>
      </w:pPr>
      <w:r>
        <w:rPr>
          <w:rFonts w:eastAsia="仿宋_GB2312"/>
          <w:color w:val="000000"/>
          <w:sz w:val="32"/>
          <w:szCs w:val="32"/>
        </w:rPr>
        <w:t>1.强基计划、综合评价、高校专项计划、地方专项计划、高水平艺术团、高水平运动队、保送生、体育艺术类专业、运动训练、武术与民族传统体育专业、高职院校提前招生等特殊类型考试招生，按照教育部及我省有关文件执行。</w:t>
      </w:r>
    </w:p>
    <w:p>
      <w:pPr>
        <w:spacing w:line="540" w:lineRule="exact"/>
        <w:ind w:firstLine="640" w:firstLineChars="200"/>
        <w:rPr>
          <w:rFonts w:eastAsia="仿宋_GB2312"/>
          <w:color w:val="000000"/>
          <w:sz w:val="32"/>
          <w:szCs w:val="32"/>
        </w:rPr>
      </w:pPr>
      <w:r>
        <w:rPr>
          <w:rFonts w:eastAsia="仿宋_GB2312"/>
          <w:color w:val="000000"/>
          <w:sz w:val="32"/>
          <w:szCs w:val="32"/>
        </w:rPr>
        <w:t>2.有关设区市、县（市、区）教育行政部门、招办及有关中学要密切配合空军和海军招收飞行学员相关部门，认真做好宣传发动、初检、全面检测和复查等工作，确保招飞任务的完成。</w:t>
      </w:r>
    </w:p>
    <w:p>
      <w:pPr>
        <w:spacing w:line="540" w:lineRule="exact"/>
        <w:ind w:firstLine="640" w:firstLineChars="200"/>
        <w:rPr>
          <w:rFonts w:eastAsia="仿宋_GB2312"/>
          <w:color w:val="000000"/>
          <w:sz w:val="32"/>
          <w:szCs w:val="32"/>
        </w:rPr>
      </w:pPr>
      <w:r>
        <w:rPr>
          <w:rFonts w:eastAsia="仿宋_GB2312"/>
          <w:color w:val="000000"/>
          <w:sz w:val="32"/>
          <w:szCs w:val="32"/>
        </w:rPr>
        <w:t>3.根据军委政治工作部、国防动员部和教育部规定，定向培养</w:t>
      </w:r>
      <w:r>
        <w:rPr>
          <w:rFonts w:eastAsia="仿宋_GB2312"/>
          <w:color w:val="000000"/>
          <w:kern w:val="0"/>
          <w:sz w:val="32"/>
          <w:szCs w:val="32"/>
        </w:rPr>
        <w:t>军士</w:t>
      </w:r>
      <w:r>
        <w:rPr>
          <w:rFonts w:eastAsia="仿宋_GB2312"/>
          <w:color w:val="000000"/>
          <w:sz w:val="32"/>
          <w:szCs w:val="32"/>
        </w:rPr>
        <w:t>计划安排在普通类招生。报考定向培养</w:t>
      </w:r>
      <w:r>
        <w:rPr>
          <w:rFonts w:eastAsia="仿宋_GB2312"/>
          <w:color w:val="000000"/>
          <w:kern w:val="0"/>
          <w:sz w:val="32"/>
          <w:szCs w:val="32"/>
        </w:rPr>
        <w:t>军士</w:t>
      </w:r>
      <w:r>
        <w:rPr>
          <w:rFonts w:eastAsia="仿宋_GB2312"/>
          <w:color w:val="000000"/>
          <w:sz w:val="32"/>
          <w:szCs w:val="32"/>
        </w:rPr>
        <w:t>院校的考生，在普通类专科批次录取前进行投档、录取。报考定向培养</w:t>
      </w:r>
      <w:r>
        <w:rPr>
          <w:rFonts w:eastAsia="仿宋_GB2312"/>
          <w:color w:val="000000"/>
          <w:kern w:val="0"/>
          <w:sz w:val="32"/>
          <w:szCs w:val="32"/>
        </w:rPr>
        <w:t>军士</w:t>
      </w:r>
      <w:r>
        <w:rPr>
          <w:rFonts w:eastAsia="仿宋_GB2312"/>
          <w:color w:val="000000"/>
          <w:sz w:val="32"/>
          <w:szCs w:val="32"/>
        </w:rPr>
        <w:t>院校的考生不得兼报体育类、艺术类专科批次志愿。</w:t>
      </w:r>
    </w:p>
    <w:p>
      <w:pPr>
        <w:spacing w:line="540" w:lineRule="exact"/>
        <w:ind w:firstLine="640" w:firstLineChars="200"/>
        <w:rPr>
          <w:rFonts w:eastAsia="仿宋_GB2312"/>
          <w:color w:val="000000"/>
          <w:sz w:val="32"/>
          <w:szCs w:val="32"/>
        </w:rPr>
      </w:pPr>
      <w:r>
        <w:rPr>
          <w:rFonts w:eastAsia="仿宋_GB2312"/>
          <w:color w:val="000000"/>
          <w:sz w:val="32"/>
          <w:szCs w:val="32"/>
        </w:rPr>
        <w:t>有关设区市、县（市、区）教育行政部门、招办及有关中学要积极配合当地兵役机关，认真做好宣传发动工作，确保定向培养</w:t>
      </w:r>
      <w:r>
        <w:rPr>
          <w:rFonts w:eastAsia="仿宋_GB2312"/>
          <w:color w:val="000000"/>
          <w:kern w:val="0"/>
          <w:sz w:val="32"/>
          <w:szCs w:val="32"/>
        </w:rPr>
        <w:t>军士</w:t>
      </w:r>
      <w:r>
        <w:rPr>
          <w:rFonts w:eastAsia="仿宋_GB2312"/>
          <w:color w:val="000000"/>
          <w:sz w:val="32"/>
          <w:szCs w:val="32"/>
        </w:rPr>
        <w:t>任务的完成。</w:t>
      </w:r>
    </w:p>
    <w:p>
      <w:pPr>
        <w:pStyle w:val="25"/>
        <w:widowControl w:val="0"/>
        <w:spacing w:before="0" w:beforeAutospacing="0" w:after="0" w:afterAutospacing="0" w:line="540" w:lineRule="exact"/>
        <w:ind w:firstLine="640" w:firstLineChars="200"/>
        <w:jc w:val="both"/>
        <w:rPr>
          <w:rFonts w:hint="default" w:ascii="Times New Roman" w:hAnsi="Times New Roman" w:eastAsia="黑体"/>
          <w:bCs/>
          <w:color w:val="000000"/>
          <w:sz w:val="32"/>
          <w:szCs w:val="32"/>
        </w:rPr>
      </w:pPr>
      <w:r>
        <w:rPr>
          <w:rFonts w:hint="default" w:ascii="Times New Roman" w:hAnsi="Times New Roman" w:eastAsia="黑体"/>
          <w:bCs/>
          <w:color w:val="000000"/>
          <w:sz w:val="32"/>
          <w:szCs w:val="32"/>
        </w:rPr>
        <w:t>十三、对违反规定行为的处理</w:t>
      </w:r>
    </w:p>
    <w:p>
      <w:pPr>
        <w:spacing w:line="540" w:lineRule="exact"/>
        <w:ind w:firstLine="660"/>
        <w:rPr>
          <w:rFonts w:eastAsia="仿宋_GB2312"/>
          <w:color w:val="000000"/>
          <w:sz w:val="32"/>
          <w:szCs w:val="32"/>
        </w:rPr>
      </w:pPr>
      <w:r>
        <w:rPr>
          <w:rFonts w:eastAsia="仿宋_GB2312"/>
          <w:color w:val="000000"/>
          <w:sz w:val="32"/>
          <w:szCs w:val="32"/>
        </w:rPr>
        <w:t>1.考生、考试工作人员、社会其他人员在高校招生考试中的各种违规行为的处理，各地各高校要严格按照《</w:t>
      </w:r>
      <w:r>
        <w:rPr>
          <w:rFonts w:eastAsia="仿宋_GB2312"/>
          <w:color w:val="000000"/>
          <w:kern w:val="0"/>
          <w:sz w:val="32"/>
          <w:szCs w:val="32"/>
        </w:rPr>
        <w:t>中华人民共和国</w:t>
      </w:r>
      <w:r>
        <w:rPr>
          <w:rFonts w:eastAsia="仿宋_GB2312"/>
          <w:color w:val="000000"/>
          <w:sz w:val="32"/>
          <w:szCs w:val="32"/>
        </w:rPr>
        <w:t>刑法》《中华人民共和国教育法》《中华人民共和国监察法》《国家教育考试违规处理办法》（教育部令第33号）和《普通高等学校招生违规行为处理暂行办法》（教育部令第36号）确定的程序和规定严肃处理，依法依规追究当事人及相关人员责任；涉嫌犯罪的，移送司法机关追究法律责任。对公职人员违规违纪的，依据《中国共产党纪律处分条例》《行政机关公务员处分条例》和《事业单位工作人员处分暂行规定》等相关规定进行严肃处理。对因教育行政部门、教育考试机构疏于管理，造成考场秩序混乱、作弊情况严重、招生违规严重的，要依法依规对相关责任人进行严肃处理并追责问责。</w:t>
      </w:r>
    </w:p>
    <w:p>
      <w:pPr>
        <w:spacing w:line="540" w:lineRule="exact"/>
        <w:ind w:firstLine="660"/>
        <w:rPr>
          <w:rFonts w:eastAsia="仿宋_GB2312"/>
          <w:color w:val="000000"/>
          <w:sz w:val="32"/>
          <w:szCs w:val="32"/>
        </w:rPr>
      </w:pPr>
      <w:r>
        <w:rPr>
          <w:rFonts w:eastAsia="仿宋_GB2312"/>
          <w:color w:val="000000"/>
          <w:kern w:val="0"/>
          <w:sz w:val="32"/>
          <w:szCs w:val="32"/>
        </w:rPr>
        <w:t>根据教育部有关文件规定，教育部授权省级招委会组织的省级统一考试和授权高校组织的单独招生考试及强基计划、</w:t>
      </w:r>
      <w:r>
        <w:rPr>
          <w:rFonts w:eastAsia="仿宋_GB2312"/>
          <w:color w:val="000000"/>
          <w:sz w:val="32"/>
          <w:szCs w:val="32"/>
        </w:rPr>
        <w:t>保送生、综合评价、高水平艺术团、高水平运动队、体育艺术类专业、运动训练、武术与民族传统体育、高职分类招考等类型</w:t>
      </w:r>
      <w:r>
        <w:rPr>
          <w:rFonts w:eastAsia="仿宋_GB2312"/>
          <w:color w:val="000000"/>
          <w:kern w:val="0"/>
          <w:sz w:val="32"/>
          <w:szCs w:val="32"/>
        </w:rPr>
        <w:t>招生考试均属国家教育考试的组成部分，</w:t>
      </w:r>
      <w:r>
        <w:rPr>
          <w:rFonts w:eastAsia="仿宋_GB2312"/>
          <w:color w:val="000000"/>
          <w:sz w:val="32"/>
          <w:szCs w:val="32"/>
        </w:rPr>
        <w:t>对在上述类型招生考试中违规的考生、高校、中学及有关工作人员，要</w:t>
      </w:r>
      <w:r>
        <w:rPr>
          <w:rFonts w:eastAsia="仿宋_GB2312"/>
          <w:color w:val="000000"/>
          <w:kern w:val="0"/>
          <w:sz w:val="32"/>
          <w:szCs w:val="32"/>
        </w:rPr>
        <w:t>按照上述法律法规及党内法规</w:t>
      </w:r>
      <w:r>
        <w:rPr>
          <w:rFonts w:eastAsia="仿宋_GB2312"/>
          <w:color w:val="000000"/>
          <w:sz w:val="32"/>
          <w:szCs w:val="32"/>
        </w:rPr>
        <w:t>从严查处。其中，凡提供虚假个人信息或申请材料的，均应当认定为在国家教育考试中作弊，取消其相关类型招生的报名、考试和录取资格，同时通报江苏省教育考试院，取消其当年高考报名、考试和录取资格，并视情节轻重给予暂停参加各类国家教育考试1-3年的处理。</w:t>
      </w:r>
    </w:p>
    <w:p>
      <w:pPr>
        <w:spacing w:line="540" w:lineRule="exact"/>
        <w:ind w:firstLine="640" w:firstLineChars="200"/>
        <w:rPr>
          <w:rFonts w:eastAsia="仿宋_GB2312"/>
          <w:color w:val="000000"/>
          <w:sz w:val="32"/>
          <w:szCs w:val="32"/>
        </w:rPr>
      </w:pPr>
      <w:r>
        <w:rPr>
          <w:rFonts w:eastAsia="仿宋_GB2312"/>
          <w:color w:val="000000"/>
          <w:sz w:val="32"/>
          <w:szCs w:val="32"/>
        </w:rPr>
        <w:t>对违规参加高校招生考试的高级中等教育学校非应届毕业的在校生，取消其当年高校招生考试各科成绩，同时给予其应届毕业当年不得报名参加高校招生考试的处理。</w:t>
      </w:r>
    </w:p>
    <w:p>
      <w:pPr>
        <w:spacing w:line="540" w:lineRule="exact"/>
        <w:ind w:firstLine="640" w:firstLineChars="200"/>
        <w:rPr>
          <w:rFonts w:eastAsia="仿宋_GB2312"/>
          <w:color w:val="000000"/>
          <w:sz w:val="32"/>
          <w:szCs w:val="32"/>
        </w:rPr>
      </w:pPr>
      <w:r>
        <w:rPr>
          <w:rFonts w:eastAsia="仿宋_GB2312"/>
          <w:color w:val="000000"/>
          <w:sz w:val="32"/>
          <w:szCs w:val="32"/>
        </w:rPr>
        <w:t>2.考生或者其法定监护人认为所报考高校的招生录取行为违反本规定或其他相关规定的，按照“高校负责、省教育考试院监督”的原则，可向所报考高校提出异议、申诉或者举报。高校应当进行调查、处理，属于对政策执行存在异议的，应当书面或者口头及时答复申请人；属于对违规违纪行为举报的，应当组织纪检监察机构或者专门的招生监督机构进行调查，并按照信访条例和有关规定作出书面答复。</w:t>
      </w:r>
    </w:p>
    <w:p>
      <w:pPr>
        <w:spacing w:line="540" w:lineRule="exact"/>
        <w:ind w:firstLine="640" w:firstLineChars="200"/>
        <w:rPr>
          <w:rFonts w:eastAsia="仿宋_GB2312"/>
          <w:color w:val="000000"/>
          <w:sz w:val="32"/>
          <w:szCs w:val="32"/>
        </w:rPr>
      </w:pPr>
      <w:r>
        <w:rPr>
          <w:rFonts w:eastAsia="仿宋_GB2312"/>
          <w:color w:val="000000"/>
          <w:sz w:val="32"/>
          <w:szCs w:val="32"/>
        </w:rPr>
        <w:t>考生或者其监护人对高校作出的政策解释不服的，可以向省教育考试院申请复查；对违规违纪行为举报的处理不服的，可以向省教育考试院或省教育厅申请复查。对复查结论不服的，可以按照相关规定向省教育考试院或省教育厅的上级机关提出复核。</w:t>
      </w:r>
    </w:p>
    <w:p>
      <w:pPr>
        <w:pStyle w:val="25"/>
        <w:widowControl w:val="0"/>
        <w:spacing w:before="0" w:beforeAutospacing="0" w:after="0" w:afterAutospacing="0" w:line="540" w:lineRule="exact"/>
        <w:ind w:firstLine="640" w:firstLineChars="200"/>
        <w:jc w:val="both"/>
        <w:rPr>
          <w:rFonts w:hint="default" w:ascii="Times New Roman" w:hAnsi="Times New Roman" w:eastAsia="黑体"/>
          <w:bCs/>
          <w:color w:val="000000"/>
          <w:sz w:val="32"/>
          <w:szCs w:val="32"/>
        </w:rPr>
      </w:pPr>
      <w:r>
        <w:rPr>
          <w:rFonts w:hint="default" w:ascii="Times New Roman" w:hAnsi="Times New Roman" w:eastAsia="黑体"/>
          <w:bCs/>
          <w:color w:val="000000"/>
          <w:sz w:val="32"/>
          <w:szCs w:val="32"/>
        </w:rPr>
        <w:t>十四、组织管理</w:t>
      </w:r>
    </w:p>
    <w:p>
      <w:pPr>
        <w:spacing w:line="540" w:lineRule="exact"/>
        <w:ind w:firstLine="632" w:firstLineChars="200"/>
        <w:rPr>
          <w:rFonts w:eastAsia="仿宋_GB2312"/>
          <w:color w:val="000000"/>
          <w:spacing w:val="-2"/>
          <w:sz w:val="32"/>
          <w:szCs w:val="32"/>
        </w:rPr>
      </w:pPr>
      <w:r>
        <w:rPr>
          <w:rFonts w:eastAsia="仿宋_GB2312"/>
          <w:color w:val="000000"/>
          <w:spacing w:val="-2"/>
          <w:sz w:val="32"/>
          <w:szCs w:val="32"/>
        </w:rPr>
        <w:t>各级政府、教育行政部门和招生考试机构必须认清新形势下做好高校招生考试工作的重要性，全面加强组织领导，把高考工作作为一项政治工程、民生工程抓好抓实，深入推进高校招生“阳光工程”，认真落实教育部关于全面加强教育考试环境综合整治工作的精神和要求，坚持把做好高校招生考试工作作为促进社会公平正义，推动和谐社会建设的一项基础工作来抓，以确保考试安全和建设良好的考风考纪为重点，切实增强责任感、使命感，全力保障常态化疫情防控下高校招生的各项任务安全、平稳、顺利完成。</w:t>
      </w:r>
    </w:p>
    <w:p>
      <w:pPr>
        <w:spacing w:line="540" w:lineRule="exact"/>
        <w:ind w:firstLine="643" w:firstLineChars="200"/>
        <w:rPr>
          <w:rFonts w:eastAsia="仿宋_GB2312"/>
          <w:color w:val="000000"/>
          <w:spacing w:val="-2"/>
          <w:sz w:val="32"/>
          <w:szCs w:val="32"/>
        </w:rPr>
      </w:pPr>
      <w:r>
        <w:rPr>
          <w:rFonts w:eastAsia="仿宋_GB2312"/>
          <w:b/>
          <w:bCs/>
          <w:color w:val="000000"/>
          <w:sz w:val="32"/>
          <w:szCs w:val="32"/>
        </w:rPr>
        <w:t>1.全面落实考试安全责任。</w:t>
      </w:r>
      <w:r>
        <w:rPr>
          <w:rFonts w:eastAsia="仿宋_GB2312"/>
          <w:color w:val="000000"/>
          <w:spacing w:val="-2"/>
          <w:sz w:val="32"/>
          <w:szCs w:val="32"/>
        </w:rPr>
        <w:t>各级政府和招委会是本行政区域内组织高考、治理考试环境、维护招生考试安全稳定、做好考试疫情防控及整肃考风考纪的责任主体，主要负责同志是第一责任人，各级教育行政部门主要负责同志、分管负责同志和各级招生考试机构主要负责同志是直接责任人。高校是本校考试招生（含特殊类型招生）工作的责任主体，主要负责同志是第一责任人，分管负责同志是直接责任人。各地各校要按照全面从严治党要求，突出强调各级政府、招考部门、中学的责任，层层压实考试安全主体责任，精心组织，周密部署，规范实施。</w:t>
      </w:r>
      <w:r>
        <w:rPr>
          <w:rFonts w:eastAsia="仿宋_GB2312"/>
          <w:color w:val="000000"/>
          <w:sz w:val="32"/>
          <w:szCs w:val="32"/>
        </w:rPr>
        <w:t>各级领导干部特别是主要负责同志要对考试招生重大事项亲自把关、亲自协调、亲自督察，确保考试招生安全稳定。</w:t>
      </w:r>
    </w:p>
    <w:p>
      <w:pPr>
        <w:spacing w:line="540" w:lineRule="exact"/>
        <w:ind w:firstLine="632" w:firstLineChars="200"/>
        <w:rPr>
          <w:rFonts w:eastAsia="仿宋_GB2312"/>
          <w:color w:val="000000"/>
          <w:spacing w:val="-2"/>
          <w:sz w:val="32"/>
          <w:szCs w:val="32"/>
        </w:rPr>
      </w:pPr>
      <w:r>
        <w:rPr>
          <w:rFonts w:eastAsia="仿宋_GB2312"/>
          <w:color w:val="000000"/>
          <w:spacing w:val="-2"/>
          <w:sz w:val="32"/>
          <w:szCs w:val="32"/>
        </w:rPr>
        <w:t>各地各高校要按照教育部等十部门《关于进一步加强国家教育统一考试环境综合治理和考试安全工作的通知》（教学〔2012〕4号）要求，健全和完善宣传、公安、监察、保密、无线电、市场监管等相关部门应对突发事件的应急处置机制。</w:t>
      </w:r>
    </w:p>
    <w:p>
      <w:pPr>
        <w:spacing w:line="540" w:lineRule="exact"/>
        <w:ind w:firstLine="643" w:firstLineChars="200"/>
        <w:rPr>
          <w:rFonts w:eastAsia="仿宋_GB2312"/>
          <w:color w:val="000000"/>
          <w:sz w:val="32"/>
          <w:szCs w:val="32"/>
        </w:rPr>
      </w:pPr>
      <w:r>
        <w:rPr>
          <w:rFonts w:eastAsia="仿宋_GB2312"/>
          <w:b/>
          <w:bCs/>
          <w:color w:val="000000"/>
          <w:sz w:val="32"/>
          <w:szCs w:val="32"/>
        </w:rPr>
        <w:t>2.强化考试环境综合治理。</w:t>
      </w:r>
      <w:r>
        <w:rPr>
          <w:rFonts w:eastAsia="仿宋_GB2312"/>
          <w:color w:val="000000"/>
          <w:sz w:val="32"/>
          <w:szCs w:val="32"/>
        </w:rPr>
        <w:t>健全和完善各项安全保密制度和考试管理制度，强化制度落实和检查。</w:t>
      </w:r>
      <w:r>
        <w:rPr>
          <w:rFonts w:eastAsia="仿宋_GB2312"/>
          <w:color w:val="000000"/>
          <w:spacing w:val="-2"/>
          <w:sz w:val="32"/>
          <w:szCs w:val="32"/>
        </w:rPr>
        <w:t>各级教育行政部门和招生考试机构要把试答卷安全保密工作摆在突出重要位置，作为考试安全工作的重中之重，细化</w:t>
      </w:r>
      <w:r>
        <w:rPr>
          <w:rFonts w:eastAsia="仿宋_GB2312"/>
          <w:color w:val="000000"/>
          <w:sz w:val="32"/>
          <w:szCs w:val="32"/>
        </w:rPr>
        <w:t>试答卷印制、运送、保管、分发到施考、回收、评卷全过程监督管理，严防死守试答卷安全。各地要成立高考安全突发事件应急处置领导小组，注重各环节风险梳理和排查，加强对突发事件和高考舆情的预判研判，完善防范各类涉考突发事件的应急处置工作预案，落实集体研判、科学决策、快速响应、协调联动的工作机制，确保出现突发情况后的快速反应和应急措施到位。重大事件处置要向当地党委政府请示汇报</w:t>
      </w:r>
      <w:r>
        <w:rPr>
          <w:rFonts w:eastAsia="仿宋_GB2312"/>
          <w:color w:val="000000"/>
          <w:sz w:val="32"/>
        </w:rPr>
        <w:t>。</w:t>
      </w:r>
      <w:r>
        <w:rPr>
          <w:rFonts w:eastAsia="仿宋_GB2312"/>
          <w:color w:val="000000"/>
          <w:sz w:val="32"/>
          <w:szCs w:val="32"/>
        </w:rPr>
        <w:t>各设区市、县（市、区）招生委员会、教育行政部门和招生考试机构要把高考安全作为“一把手”工程，把试答卷安全和考试安全作为工作重点，主要负责同志负总责、亲自抓。要加强标准化考点和试答卷保管场所的管理，做好设备维护和升级，确保各类设备正常运行，有效屏蔽无线电作弊信号。要完善应急指挥、视频监控、作弊防控、身份验证等系统，加大人员入场检测力度，严格执行考场、视频“双监考”及巡考制度，提升考试实时监控能力。</w:t>
      </w:r>
    </w:p>
    <w:p>
      <w:pPr>
        <w:spacing w:line="540" w:lineRule="exact"/>
        <w:ind w:firstLine="643" w:firstLineChars="200"/>
        <w:rPr>
          <w:rFonts w:eastAsia="仿宋_GB2312"/>
          <w:color w:val="000000"/>
          <w:sz w:val="32"/>
          <w:szCs w:val="32"/>
        </w:rPr>
      </w:pPr>
      <w:r>
        <w:rPr>
          <w:rFonts w:eastAsia="仿宋_GB2312"/>
          <w:b/>
          <w:bCs/>
          <w:color w:val="000000"/>
          <w:sz w:val="32"/>
          <w:szCs w:val="32"/>
        </w:rPr>
        <w:t>3.不断优化考试防疫工作。</w:t>
      </w:r>
      <w:r>
        <w:rPr>
          <w:rFonts w:eastAsia="仿宋_GB2312"/>
          <w:color w:val="000000"/>
          <w:sz w:val="32"/>
          <w:szCs w:val="32"/>
        </w:rPr>
        <w:t>各地各校要树立“健康第一”原则，认真贯彻落实国家及我省关于疫情防控最新要求，</w:t>
      </w:r>
      <w:r>
        <w:rPr>
          <w:rFonts w:eastAsia="仿宋_GB2312"/>
          <w:sz w:val="32"/>
          <w:szCs w:val="32"/>
        </w:rPr>
        <w:t>将考试防疫列入当地应对新冠病毒感染疫情联防联控机制（领导小组、指挥部）工作重点。</w:t>
      </w:r>
      <w:r>
        <w:rPr>
          <w:rFonts w:eastAsia="仿宋_GB2312"/>
          <w:color w:val="000000"/>
          <w:sz w:val="32"/>
          <w:szCs w:val="32"/>
        </w:rPr>
        <w:t>要认真总结近年高考组考防疫工作经验，不断优化考试防疫工作方案，并完善应急预案。要</w:t>
      </w:r>
      <w:r>
        <w:rPr>
          <w:rFonts w:eastAsia="仿宋_GB2312"/>
          <w:sz w:val="32"/>
          <w:szCs w:val="32"/>
        </w:rPr>
        <w:t>坚持科学精准防疫，做好命题制卷、考点考场、评卷等场所防疫工作。安排充足的备用考点和工作人员，应对突发情况，确保“应考尽考”。</w:t>
      </w:r>
    </w:p>
    <w:p>
      <w:pPr>
        <w:shd w:val="clear" w:color="auto" w:fill="FFFFFF"/>
        <w:spacing w:line="540" w:lineRule="exact"/>
        <w:ind w:firstLine="643" w:firstLineChars="200"/>
        <w:rPr>
          <w:rFonts w:eastAsia="仿宋_GB2312"/>
          <w:color w:val="000000"/>
          <w:sz w:val="32"/>
          <w:szCs w:val="32"/>
        </w:rPr>
      </w:pPr>
      <w:r>
        <w:rPr>
          <w:rFonts w:eastAsia="仿宋_GB2312"/>
          <w:b/>
          <w:bCs/>
          <w:color w:val="000000"/>
          <w:sz w:val="32"/>
          <w:szCs w:val="32"/>
        </w:rPr>
        <w:t>4.严厉打击考试违规行为。</w:t>
      </w:r>
      <w:r>
        <w:rPr>
          <w:rFonts w:eastAsia="仿宋_GB2312"/>
          <w:color w:val="000000"/>
          <w:sz w:val="32"/>
          <w:szCs w:val="32"/>
        </w:rPr>
        <w:t>各地各有关部门要从维护高校考试招生工作的公平性、公正性、权威性、严肃性出发，切实提高考试管理科学化、规范化水平。加强面向广大考生的诚信考试教育，大力做好对《</w:t>
      </w:r>
      <w:r>
        <w:rPr>
          <w:rFonts w:eastAsia="仿宋_GB2312"/>
          <w:color w:val="000000"/>
          <w:kern w:val="0"/>
          <w:sz w:val="32"/>
          <w:szCs w:val="32"/>
        </w:rPr>
        <w:t>中华人民共和国</w:t>
      </w:r>
      <w:r>
        <w:rPr>
          <w:rFonts w:eastAsia="仿宋_GB2312"/>
          <w:color w:val="000000"/>
          <w:sz w:val="32"/>
          <w:szCs w:val="32"/>
        </w:rPr>
        <w:t>刑法》《中华人民共和国教育法》《最高人民法院 最高人民检察院关于办理组织考试作弊等刑事案件适用法律若干问题的解释》等相关涉考条款的宣传工作，在考生诚信承诺书、考生须知等材料中增加相应法律条款内容，教育和引导考生自觉抵制违纪、舞弊等违法违规行为。</w:t>
      </w:r>
    </w:p>
    <w:p>
      <w:pPr>
        <w:shd w:val="clear" w:color="auto" w:fill="FFFFFF"/>
        <w:spacing w:line="540" w:lineRule="exact"/>
        <w:ind w:firstLine="640" w:firstLineChars="200"/>
        <w:rPr>
          <w:rFonts w:eastAsia="仿宋_GB2312"/>
          <w:color w:val="000000"/>
          <w:sz w:val="32"/>
          <w:szCs w:val="32"/>
        </w:rPr>
      </w:pPr>
      <w:r>
        <w:rPr>
          <w:rFonts w:eastAsia="仿宋_GB2312"/>
          <w:color w:val="000000"/>
          <w:sz w:val="32"/>
          <w:szCs w:val="32"/>
        </w:rPr>
        <w:t>要充分运用现代化管理手段，着力抓好考务实施和考场管理，依法严厉打击利用高科技手段作弊、替考和群体性舞弊等违规行为。要健全政府部门联防联控机制，加大考试环境的综合整治力度，坚持标本兼治、相互配合、齐抓共管。实行考点集中存放手机管理，杜绝手机带入考场、考务室等考试关键区域。有条件的地区可配备“智能安检门”，严防考生携带手机、高科技作弊器材等入场。要克服地方保护主义思想，严厉打击考试舞弊歪风和考场腐败行为，确保考试公平公正。</w:t>
      </w:r>
    </w:p>
    <w:p>
      <w:pPr>
        <w:spacing w:line="540" w:lineRule="exact"/>
        <w:ind w:firstLine="643" w:firstLineChars="200"/>
        <w:rPr>
          <w:rFonts w:eastAsia="仿宋_GB2312"/>
          <w:color w:val="000000"/>
          <w:sz w:val="32"/>
          <w:szCs w:val="32"/>
        </w:rPr>
      </w:pPr>
      <w:r>
        <w:rPr>
          <w:rFonts w:eastAsia="仿宋_GB2312"/>
          <w:b/>
          <w:bCs/>
          <w:color w:val="000000"/>
          <w:sz w:val="32"/>
          <w:szCs w:val="32"/>
        </w:rPr>
        <w:t>5.持续推进招生体系规范化。</w:t>
      </w:r>
      <w:r>
        <w:rPr>
          <w:rFonts w:eastAsia="仿宋_GB2312"/>
          <w:color w:val="000000"/>
          <w:sz w:val="32"/>
          <w:szCs w:val="32"/>
        </w:rPr>
        <w:t>各地各高校要严格执行招生政策和招生计划，深入实施高校招生“阳光工程”，全面推进“阳光工程”的制度化、系统化、常态化，把“阳光工程”的精神、要求和内涵切实融入到高校的招生管理之中。高校要认真执行有关特殊类型招生工作要求，切实履行工作职责，严格报名条件、材料审查、学校考核、监督制约和造假惩处，严厉打击证书、发明、专利、论文买卖和造假行为。不得将社会机构和公司提供的测评结果与招生工作挂钩，不得以“生源基地”等形式圈定中学范围，确保招生录取公平公正。要严格执行教育部 “30个不得”“八项基本要求”等规定，严格执行《普通高等学校招生违规行为处理暂行办法》，依法治招，严禁虚假招生宣传和违规承诺录取考生，严禁通过设置奖金等方式违规争抢生源</w:t>
      </w:r>
      <w:r>
        <w:rPr>
          <w:rFonts w:eastAsia="仿宋_GB2312"/>
          <w:color w:val="000000"/>
          <w:sz w:val="27"/>
          <w:szCs w:val="27"/>
        </w:rPr>
        <w:t>，</w:t>
      </w:r>
      <w:r>
        <w:rPr>
          <w:rFonts w:eastAsia="仿宋_GB2312"/>
          <w:color w:val="000000"/>
          <w:sz w:val="32"/>
          <w:szCs w:val="32"/>
        </w:rPr>
        <w:t>严禁违规收费。</w:t>
      </w:r>
      <w:r>
        <w:rPr>
          <w:rFonts w:eastAsia="仿宋_GB2312"/>
          <w:sz w:val="32"/>
          <w:szCs w:val="32"/>
        </w:rPr>
        <w:t>严格加强工作人员管理，不得以任何形式代替或干预考生填报志愿。</w:t>
      </w:r>
    </w:p>
    <w:p>
      <w:pPr>
        <w:shd w:val="clear" w:color="auto" w:fill="FFFFFF"/>
        <w:spacing w:line="540" w:lineRule="exact"/>
        <w:ind w:firstLine="643" w:firstLineChars="200"/>
        <w:rPr>
          <w:rFonts w:eastAsia="仿宋_GB2312"/>
          <w:color w:val="000000"/>
          <w:sz w:val="32"/>
          <w:szCs w:val="32"/>
        </w:rPr>
      </w:pPr>
      <w:r>
        <w:rPr>
          <w:rFonts w:eastAsia="仿宋_GB2312"/>
          <w:b/>
          <w:bCs/>
          <w:color w:val="000000"/>
          <w:sz w:val="32"/>
          <w:szCs w:val="32"/>
        </w:rPr>
        <w:t>6.切实保障招生录取公平公正。</w:t>
      </w:r>
      <w:r>
        <w:rPr>
          <w:rFonts w:eastAsia="仿宋_GB2312"/>
          <w:color w:val="000000"/>
          <w:sz w:val="32"/>
          <w:szCs w:val="32"/>
        </w:rPr>
        <w:t>各地各高校要进一步强化招生信息公开和监管机制，按照“分级管理、逐级负责、规范有效”的原则，健全信息公开制度，做到信息采集准确，程序规范公开，内容发布及时。严格落实招生信息“十公开”，确保招生政策、招生资格、招生章程、招生计划、考生资格、录取程序、录取结果、咨询及申诉渠道、重大事件违规处理结果、录取新生复查结果等信息全公开。要完善考生申诉和学校仲裁机制，及时回应处理各种问题。申请享受照顾政策的考生，须经省、市、县（市、区）、校多级公示后方能予以认可，未经公示的考生及其照顾项目，不得享受相应照顾录取政策。保送生、高水平运动队、高水平艺术团等特殊类型招生以及中央部属高校综合评价录取的资格考生信息和录取要求，除须在本校范围内予以公示外，还须及时上传“阳光高考”平台，并经省教育考试院进行公示，未经公示的考生不得按特殊类型录取。</w:t>
      </w:r>
    </w:p>
    <w:p>
      <w:pPr>
        <w:spacing w:line="540" w:lineRule="exact"/>
        <w:ind w:firstLine="640"/>
        <w:rPr>
          <w:rFonts w:eastAsia="仿宋_GB2312"/>
          <w:color w:val="000000"/>
          <w:sz w:val="32"/>
          <w:szCs w:val="32"/>
        </w:rPr>
      </w:pPr>
      <w:r>
        <w:rPr>
          <w:rFonts w:eastAsia="仿宋_GB2312"/>
          <w:b/>
          <w:bCs/>
          <w:color w:val="000000"/>
          <w:sz w:val="32"/>
          <w:szCs w:val="32"/>
        </w:rPr>
        <w:t>7.不断完善信息安全防护体系。</w:t>
      </w:r>
      <w:r>
        <w:rPr>
          <w:rFonts w:eastAsia="仿宋_GB2312"/>
          <w:color w:val="000000"/>
          <w:sz w:val="32"/>
          <w:szCs w:val="32"/>
        </w:rPr>
        <w:t>各地各校要加强信息安全防护工作，落实国家信息系统安全等级保护相关要求，加强人防、物防、技防，及时堵塞管理和技术安全漏洞。要加强对重要设备和信息系统的运行监测和监控，确保信息系统安全可靠运行。要加强信息安全预警工作，及时发现和消除安全隐患，及时发现和处置信息安全事件。要切实加强考生志愿填报密码保管、发放和志愿填报等环节管理，防止考生志愿填报账号被他人盗用或非法操控。对工作中需要阶段性保密和涉及考生个人的信息，任何人不得擅自泄露或篡改。要建立重要招考信息管理相互制约、相互监督的工作机制。除按规定应向社会公开公示的考生信息外，只能将考生的报名信息、高考成绩、名次以及录取信息提供给考生本人及有关投档高校，不得向考生所在中学及其他任何单位和个人提供。各级各类学校及其工作人员不得公布、提供考生成绩、名次等信息。高中阶段教育学校和教师不得代替或干预考生填报高考志愿。</w:t>
      </w:r>
    </w:p>
    <w:p>
      <w:pPr>
        <w:spacing w:line="540" w:lineRule="exact"/>
        <w:ind w:firstLine="643" w:firstLineChars="200"/>
        <w:rPr>
          <w:rFonts w:eastAsia="仿宋_GB2312"/>
          <w:color w:val="000000"/>
          <w:sz w:val="32"/>
          <w:szCs w:val="32"/>
        </w:rPr>
      </w:pPr>
      <w:r>
        <w:rPr>
          <w:rFonts w:eastAsia="仿宋_GB2312"/>
          <w:b/>
          <w:bCs/>
          <w:color w:val="000000"/>
          <w:sz w:val="32"/>
          <w:szCs w:val="32"/>
        </w:rPr>
        <w:t>8.进一步提升招考队伍专业化水平。</w:t>
      </w:r>
      <w:r>
        <w:rPr>
          <w:rFonts w:eastAsia="仿宋_GB2312"/>
          <w:color w:val="000000"/>
          <w:sz w:val="32"/>
          <w:szCs w:val="32"/>
        </w:rPr>
        <w:t>各地要认真贯彻落实《教育部办公厅关于进一步加强国家教育考试考务人员队伍建设的意见》（教学厅〔2023〕1号）、省招委会印发的《关于进一步做好高考考务和评卷工作的通知》（苏招委〔2017〕3号）和省教育厅、省人力资源和社会保障厅、省财政厅印发的《关于进一步做好国家教育考试有关工作的通知》（苏教考〔2017〕17号）要求，全面加强招考机构专业化能力建设，将招考队伍建设纳入当地教师队伍建设的整体规划，推动招考机构在人员编制、综合素质、管理水平上有较大提高。</w:t>
      </w:r>
      <w:r>
        <w:rPr>
          <w:rFonts w:eastAsia="仿宋_GB2312"/>
          <w:color w:val="000000"/>
          <w:spacing w:val="-2"/>
          <w:sz w:val="32"/>
          <w:szCs w:val="32"/>
        </w:rPr>
        <w:t>要进一步健全组织机构，配备开展招生考试工作必备的办公设备、场所、设施，</w:t>
      </w:r>
      <w:r>
        <w:rPr>
          <w:rFonts w:eastAsia="仿宋_GB2312"/>
          <w:color w:val="000000"/>
          <w:sz w:val="32"/>
          <w:szCs w:val="32"/>
        </w:rPr>
        <w:t>培养一支政治可靠、业务熟练、责任心强的招考队伍，以保障高考工作平稳有序地进行。要加强经费保障，研制出台合理劳动报酬的相关政策和实施方案，切实解决监考、巡考等考务人员的待遇问题。按照有关规定切实保障考试工作经费，及时足额支付参与命题、监考、巡考、评卷</w:t>
      </w:r>
      <w:r>
        <w:rPr>
          <w:rFonts w:eastAsia="仿宋_GB2312"/>
          <w:color w:val="000000"/>
          <w:spacing w:val="-2"/>
          <w:sz w:val="32"/>
          <w:szCs w:val="32"/>
        </w:rPr>
        <w:t>的招生考试工作人员</w:t>
      </w:r>
      <w:r>
        <w:rPr>
          <w:rFonts w:eastAsia="仿宋_GB2312"/>
          <w:color w:val="000000"/>
          <w:sz w:val="32"/>
          <w:szCs w:val="32"/>
        </w:rPr>
        <w:t>费用，参加考试工作所获劳务报酬不纳入绩效工资范畴。要进一步提高认识，加强统筹协调和科学规划，建设高质量、高水平的标准化考点，为促进教育公平、创新人才选拔和人力资源强国建设提供强有力的保障。鼓励教师参加高考考务、监考及评卷等方面的工作，各地可将其作为教师履职的一个重要方面，纳入教师年终绩效考评，在教学工作量折算、职称评定、岗位聘用、推优评奖等方面适当予以倾斜。</w:t>
      </w:r>
    </w:p>
    <w:p>
      <w:pPr>
        <w:shd w:val="clear" w:color="auto" w:fill="FFFFFF"/>
        <w:spacing w:line="540" w:lineRule="exact"/>
        <w:ind w:firstLine="643" w:firstLineChars="200"/>
        <w:rPr>
          <w:rFonts w:eastAsia="仿宋_GB2312"/>
          <w:color w:val="000000"/>
          <w:sz w:val="32"/>
          <w:szCs w:val="32"/>
        </w:rPr>
      </w:pPr>
      <w:r>
        <w:rPr>
          <w:rFonts w:eastAsia="仿宋_GB2312"/>
          <w:b/>
          <w:bCs/>
          <w:color w:val="000000"/>
          <w:sz w:val="32"/>
          <w:szCs w:val="32"/>
        </w:rPr>
        <w:t>9.进一步优化考试招生宣传服务。</w:t>
      </w:r>
      <w:r>
        <w:rPr>
          <w:rFonts w:eastAsia="仿宋_GB2312"/>
          <w:color w:val="000000"/>
          <w:sz w:val="32"/>
          <w:szCs w:val="32"/>
        </w:rPr>
        <w:t>各地各高校要加强正面引导，积极运用主流媒体和新媒体等媒介及时、主动发声，切实做好政策解读、志愿填报、信访查询等服务工作，充分发挥舆论的正面导向作用。适时开展招生预警或案例宣传，提醒考生和家长避免上当受骗。加强考生诚信教育，重点宣传涉考法律法规，教育和引导考生自觉抵制违纪舞弊等行为。坚持正确育人导向，</w:t>
      </w:r>
      <w:bookmarkStart w:id="6" w:name="_Hlk68860382"/>
      <w:r>
        <w:rPr>
          <w:rFonts w:eastAsia="仿宋_GB2312"/>
          <w:color w:val="000000"/>
          <w:sz w:val="32"/>
          <w:szCs w:val="32"/>
        </w:rPr>
        <w:t>加强高考成绩管理，不得以高考成绩对学校及地区进行排名，严禁宣传炒作“高考状元”“高考喜报”“高考升学率”“高分考生”等</w:t>
      </w:r>
      <w:bookmarkEnd w:id="6"/>
      <w:r>
        <w:rPr>
          <w:rFonts w:eastAsia="仿宋_GB2312"/>
          <w:color w:val="000000"/>
          <w:sz w:val="32"/>
          <w:szCs w:val="32"/>
        </w:rPr>
        <w:t>，严禁以高考成绩为标准奖励教师和学生。各地教育行政部门和学校不得给年级、班级、教师下达升学指标，不得将升学率与教师评优评先及职称晋升挂钩，坚决杜绝唯分数论、唯升学率的错误政绩观，不得在网上发布或校园内张贴不利于引导考生身心健康发展的考试标语。各地各校要积极做好高考政策解读，为考生志愿填报提供参考信息和咨询指导。要加强有害信息监控，防范助考犯罪、招生诈骗、虚假宣传等信息传播。要为残疾人平等报名参加高考提供合理便利，并提前向社会公布。要切实增强服务意识，加强对治安、出行、食宿、卫生等方面的综合保障，营造温馨考试环境，努力办好让人民满意的高校考试招生工作。</w:t>
      </w:r>
    </w:p>
    <w:p>
      <w:pPr>
        <w:shd w:val="clear" w:color="auto" w:fill="FFFFFF"/>
        <w:spacing w:line="540" w:lineRule="exact"/>
        <w:ind w:firstLine="643" w:firstLineChars="200"/>
        <w:rPr>
          <w:rFonts w:eastAsia="仿宋_GB2312"/>
          <w:color w:val="000000"/>
          <w:sz w:val="32"/>
          <w:szCs w:val="32"/>
        </w:rPr>
      </w:pPr>
      <w:r>
        <w:rPr>
          <w:rFonts w:eastAsia="仿宋_GB2312"/>
          <w:b/>
          <w:bCs/>
          <w:color w:val="000000"/>
          <w:sz w:val="32"/>
          <w:szCs w:val="32"/>
        </w:rPr>
        <w:t>10.严格强化招考监督管理。</w:t>
      </w:r>
      <w:r>
        <w:rPr>
          <w:rFonts w:eastAsia="仿宋_GB2312"/>
          <w:sz w:val="32"/>
          <w:szCs w:val="32"/>
        </w:rPr>
        <w:t>各地教育行政部门、招办及其工作人员和高校、高中及其教师不得组织或参与任何形式涉考培训活动，不得以参加命题、监考、巡考、评卷等工作身份组织或参加任何形式的考试补习、培训和辅导活动。各校不得允许教育咨询机构、校外培训机构或个人进入学校开展涉考培训咨询活动，或提供场地给有关机构或个人开展相关活动；不得向考生和家长宣传推介有关机构或个人的相关活动。</w:t>
      </w:r>
      <w:r>
        <w:rPr>
          <w:rFonts w:eastAsia="仿宋_GB2312"/>
          <w:color w:val="000000"/>
          <w:sz w:val="32"/>
          <w:szCs w:val="32"/>
        </w:rPr>
        <w:t>严禁学校和教师与校外培训等社会机构合作，通过为考生提供志愿填报咨询服务收取费用、谋取利益。</w:t>
      </w:r>
      <w:r>
        <w:rPr>
          <w:rFonts w:eastAsia="仿宋_GB2312"/>
          <w:sz w:val="32"/>
          <w:szCs w:val="32"/>
        </w:rPr>
        <w:t>各地教育行政部门要会同网信、科技、公安、文化和旅游、市场监管、体育等部门，加强对社会培训机构或个人开展涉考培训咨询的规范治理，严厉打击涉及虚假宣传、价格欺诈、组织或参与考试作弊、干扰破坏考试招生秩序等违规违法行为</w:t>
      </w:r>
      <w:r>
        <w:rPr>
          <w:sz w:val="32"/>
        </w:rPr>
        <w:t>。</w:t>
      </w:r>
      <w:r>
        <w:rPr>
          <w:rFonts w:eastAsia="仿宋_GB2312"/>
          <w:color w:val="000000"/>
          <w:sz w:val="32"/>
          <w:szCs w:val="32"/>
        </w:rPr>
        <w:t>要畅通监督举报渠道，依据《信访条例》（国务院令第431号），及时妥善处置考试招生信访问题。</w:t>
      </w:r>
    </w:p>
    <w:p>
      <w:pPr>
        <w:spacing w:line="540" w:lineRule="exact"/>
        <w:ind w:firstLine="640" w:firstLineChars="200"/>
        <w:rPr>
          <w:rFonts w:eastAsia="黑体"/>
          <w:color w:val="000000"/>
          <w:sz w:val="32"/>
          <w:szCs w:val="32"/>
        </w:rPr>
      </w:pPr>
      <w:r>
        <w:rPr>
          <w:rFonts w:eastAsia="黑体"/>
          <w:color w:val="000000"/>
          <w:sz w:val="32"/>
          <w:szCs w:val="32"/>
        </w:rPr>
        <w:t>本工作意见由江苏省教育考试院负责解释。</w:t>
      </w:r>
    </w:p>
    <w:p>
      <w:pPr>
        <w:spacing w:line="540" w:lineRule="exact"/>
        <w:ind w:left="1598" w:leftChars="304" w:hanging="960" w:hangingChars="300"/>
        <w:rPr>
          <w:color w:val="000000"/>
          <w:sz w:val="32"/>
          <w:szCs w:val="32"/>
        </w:rPr>
      </w:pPr>
    </w:p>
    <w:p>
      <w:pPr>
        <w:spacing w:line="540" w:lineRule="exact"/>
        <w:ind w:left="1598" w:leftChars="304" w:hanging="960" w:hangingChars="300"/>
        <w:rPr>
          <w:rFonts w:eastAsia="仿宋_GB2312"/>
          <w:color w:val="000000"/>
          <w:sz w:val="32"/>
          <w:szCs w:val="32"/>
        </w:rPr>
      </w:pPr>
      <w:r>
        <w:rPr>
          <w:rFonts w:eastAsia="仿宋_GB2312"/>
          <w:color w:val="000000"/>
          <w:sz w:val="32"/>
          <w:szCs w:val="32"/>
        </w:rPr>
        <w:t>附件：江苏省2023年普通高校招生考试时间安排表</w:t>
      </w:r>
    </w:p>
    <w:p>
      <w:pPr>
        <w:spacing w:line="560" w:lineRule="exact"/>
        <w:rPr>
          <w:rFonts w:eastAsia="黑体"/>
          <w:color w:val="000000"/>
          <w:sz w:val="32"/>
          <w:szCs w:val="32"/>
        </w:rPr>
      </w:pPr>
      <w:r>
        <w:rPr>
          <w:rFonts w:eastAsia="仿宋_GB2312"/>
          <w:color w:val="000000"/>
          <w:sz w:val="32"/>
          <w:szCs w:val="32"/>
        </w:rPr>
        <w:br w:type="page"/>
      </w:r>
      <w:r>
        <w:rPr>
          <w:rFonts w:eastAsia="黑体"/>
          <w:color w:val="000000"/>
          <w:sz w:val="32"/>
          <w:szCs w:val="32"/>
        </w:rPr>
        <w:t>附件</w:t>
      </w:r>
    </w:p>
    <w:p>
      <w:pPr>
        <w:spacing w:line="480" w:lineRule="exact"/>
        <w:jc w:val="center"/>
        <w:rPr>
          <w:rFonts w:eastAsia="方正小标宋简体"/>
          <w:bCs/>
          <w:color w:val="000000"/>
          <w:sz w:val="36"/>
          <w:szCs w:val="36"/>
        </w:rPr>
      </w:pPr>
    </w:p>
    <w:p>
      <w:pPr>
        <w:spacing w:line="480" w:lineRule="exact"/>
        <w:jc w:val="center"/>
        <w:rPr>
          <w:rFonts w:eastAsia="方正小标宋简体"/>
          <w:bCs/>
          <w:color w:val="000000"/>
          <w:sz w:val="36"/>
          <w:szCs w:val="36"/>
        </w:rPr>
      </w:pPr>
      <w:r>
        <w:rPr>
          <w:rFonts w:eastAsia="方正小标宋简体"/>
          <w:bCs/>
          <w:color w:val="000000"/>
          <w:sz w:val="36"/>
          <w:szCs w:val="36"/>
        </w:rPr>
        <w:t>江苏省2023年普通高校招生考试</w:t>
      </w:r>
    </w:p>
    <w:p>
      <w:pPr>
        <w:spacing w:line="480" w:lineRule="exact"/>
        <w:jc w:val="center"/>
        <w:rPr>
          <w:rFonts w:eastAsia="方正小标宋简体"/>
          <w:bCs/>
          <w:color w:val="000000"/>
          <w:sz w:val="36"/>
          <w:szCs w:val="36"/>
        </w:rPr>
      </w:pPr>
      <w:r>
        <w:rPr>
          <w:rFonts w:eastAsia="方正小标宋简体"/>
          <w:bCs/>
          <w:color w:val="000000"/>
          <w:sz w:val="36"/>
          <w:szCs w:val="36"/>
        </w:rPr>
        <w:t>时间安排表</w:t>
      </w:r>
    </w:p>
    <w:p>
      <w:pPr>
        <w:spacing w:line="480" w:lineRule="exact"/>
        <w:rPr>
          <w:bCs/>
          <w:color w:val="000000"/>
          <w:sz w:val="36"/>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2283"/>
        <w:gridCol w:w="2283"/>
        <w:gridCol w:w="2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357" w:type="dxa"/>
            <w:tcBorders>
              <w:top w:val="single" w:color="auto" w:sz="8" w:space="0"/>
              <w:left w:val="single" w:color="auto" w:sz="8" w:space="0"/>
            </w:tcBorders>
          </w:tcPr>
          <w:p>
            <w:pPr>
              <w:spacing w:line="360" w:lineRule="exact"/>
              <w:rPr>
                <w:color w:val="000000"/>
                <w:sz w:val="30"/>
                <w:szCs w:val="30"/>
              </w:rPr>
            </w:pPr>
          </w:p>
        </w:tc>
        <w:tc>
          <w:tcPr>
            <w:tcW w:w="2283" w:type="dxa"/>
            <w:tcBorders>
              <w:top w:val="single" w:color="auto" w:sz="8" w:space="0"/>
            </w:tcBorders>
            <w:vAlign w:val="center"/>
          </w:tcPr>
          <w:p>
            <w:pPr>
              <w:spacing w:line="360" w:lineRule="exact"/>
              <w:jc w:val="center"/>
              <w:rPr>
                <w:color w:val="000000"/>
                <w:sz w:val="30"/>
                <w:szCs w:val="30"/>
              </w:rPr>
            </w:pPr>
            <w:r>
              <w:rPr>
                <w:color w:val="000000"/>
                <w:sz w:val="30"/>
                <w:szCs w:val="30"/>
              </w:rPr>
              <w:t>6月7日</w:t>
            </w:r>
          </w:p>
        </w:tc>
        <w:tc>
          <w:tcPr>
            <w:tcW w:w="2283" w:type="dxa"/>
            <w:tcBorders>
              <w:top w:val="single" w:color="auto" w:sz="8" w:space="0"/>
            </w:tcBorders>
            <w:vAlign w:val="center"/>
          </w:tcPr>
          <w:p>
            <w:pPr>
              <w:spacing w:line="360" w:lineRule="exact"/>
              <w:jc w:val="center"/>
              <w:rPr>
                <w:color w:val="000000"/>
                <w:sz w:val="30"/>
                <w:szCs w:val="30"/>
              </w:rPr>
            </w:pPr>
            <w:r>
              <w:rPr>
                <w:color w:val="000000"/>
                <w:sz w:val="30"/>
                <w:szCs w:val="30"/>
              </w:rPr>
              <w:t>6月8日</w:t>
            </w:r>
          </w:p>
        </w:tc>
        <w:tc>
          <w:tcPr>
            <w:tcW w:w="2737" w:type="dxa"/>
            <w:tcBorders>
              <w:top w:val="single" w:color="auto" w:sz="8" w:space="0"/>
              <w:right w:val="single" w:color="auto" w:sz="8" w:space="0"/>
            </w:tcBorders>
            <w:vAlign w:val="center"/>
          </w:tcPr>
          <w:p>
            <w:pPr>
              <w:spacing w:line="360" w:lineRule="exact"/>
              <w:jc w:val="center"/>
              <w:rPr>
                <w:color w:val="000000"/>
                <w:sz w:val="30"/>
                <w:szCs w:val="30"/>
              </w:rPr>
            </w:pPr>
            <w:r>
              <w:rPr>
                <w:color w:val="000000"/>
                <w:sz w:val="30"/>
                <w:szCs w:val="30"/>
              </w:rPr>
              <w:t>6月9日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1357" w:type="dxa"/>
            <w:tcBorders>
              <w:left w:val="single" w:color="auto" w:sz="8" w:space="0"/>
            </w:tcBorders>
            <w:vAlign w:val="center"/>
          </w:tcPr>
          <w:p>
            <w:pPr>
              <w:spacing w:line="360" w:lineRule="exact"/>
              <w:jc w:val="center"/>
              <w:rPr>
                <w:color w:val="000000"/>
                <w:sz w:val="30"/>
                <w:szCs w:val="30"/>
              </w:rPr>
            </w:pPr>
            <w:r>
              <w:rPr>
                <w:color w:val="000000"/>
                <w:sz w:val="30"/>
                <w:szCs w:val="30"/>
              </w:rPr>
              <w:t>上午</w:t>
            </w:r>
          </w:p>
        </w:tc>
        <w:tc>
          <w:tcPr>
            <w:tcW w:w="2283" w:type="dxa"/>
            <w:vAlign w:val="center"/>
          </w:tcPr>
          <w:p>
            <w:pPr>
              <w:spacing w:line="360" w:lineRule="exact"/>
              <w:jc w:val="center"/>
              <w:rPr>
                <w:color w:val="000000"/>
                <w:sz w:val="30"/>
                <w:szCs w:val="30"/>
              </w:rPr>
            </w:pPr>
            <w:r>
              <w:rPr>
                <w:color w:val="000000"/>
                <w:sz w:val="30"/>
                <w:szCs w:val="30"/>
              </w:rPr>
              <w:t>语文</w:t>
            </w:r>
          </w:p>
          <w:p>
            <w:pPr>
              <w:spacing w:line="360" w:lineRule="exact"/>
              <w:jc w:val="center"/>
              <w:rPr>
                <w:color w:val="000000"/>
                <w:sz w:val="30"/>
                <w:szCs w:val="30"/>
              </w:rPr>
            </w:pPr>
            <w:r>
              <w:rPr>
                <w:color w:val="000000"/>
                <w:sz w:val="30"/>
                <w:szCs w:val="30"/>
              </w:rPr>
              <w:t>（9:00-11:30）</w:t>
            </w:r>
          </w:p>
        </w:tc>
        <w:tc>
          <w:tcPr>
            <w:tcW w:w="2283" w:type="dxa"/>
            <w:vAlign w:val="center"/>
          </w:tcPr>
          <w:p>
            <w:pPr>
              <w:spacing w:line="360" w:lineRule="exact"/>
              <w:jc w:val="center"/>
              <w:rPr>
                <w:color w:val="000000"/>
                <w:sz w:val="30"/>
                <w:szCs w:val="30"/>
              </w:rPr>
            </w:pPr>
            <w:r>
              <w:rPr>
                <w:color w:val="000000"/>
                <w:sz w:val="30"/>
                <w:szCs w:val="30"/>
              </w:rPr>
              <w:t>物理/历史</w:t>
            </w:r>
          </w:p>
          <w:p>
            <w:pPr>
              <w:spacing w:line="360" w:lineRule="exact"/>
              <w:jc w:val="center"/>
              <w:rPr>
                <w:color w:val="000000"/>
                <w:sz w:val="30"/>
                <w:szCs w:val="30"/>
              </w:rPr>
            </w:pPr>
            <w:r>
              <w:rPr>
                <w:color w:val="000000"/>
                <w:sz w:val="30"/>
                <w:szCs w:val="30"/>
              </w:rPr>
              <w:t>（9:00-10:15）</w:t>
            </w:r>
          </w:p>
        </w:tc>
        <w:tc>
          <w:tcPr>
            <w:tcW w:w="2737" w:type="dxa"/>
            <w:tcBorders>
              <w:right w:val="single" w:color="auto" w:sz="8" w:space="0"/>
            </w:tcBorders>
            <w:vAlign w:val="center"/>
          </w:tcPr>
          <w:p>
            <w:pPr>
              <w:spacing w:line="240" w:lineRule="atLeast"/>
              <w:jc w:val="center"/>
              <w:rPr>
                <w:color w:val="000000"/>
                <w:sz w:val="30"/>
                <w:szCs w:val="30"/>
              </w:rPr>
            </w:pPr>
            <w:r>
              <w:rPr>
                <w:color w:val="000000"/>
                <w:sz w:val="30"/>
                <w:szCs w:val="30"/>
              </w:rPr>
              <w:t>化学</w:t>
            </w:r>
          </w:p>
          <w:p>
            <w:pPr>
              <w:spacing w:line="240" w:lineRule="atLeast"/>
              <w:jc w:val="center"/>
              <w:rPr>
                <w:color w:val="000000"/>
                <w:sz w:val="30"/>
                <w:szCs w:val="30"/>
              </w:rPr>
            </w:pPr>
            <w:r>
              <w:rPr>
                <w:color w:val="000000"/>
                <w:sz w:val="30"/>
                <w:szCs w:val="30"/>
              </w:rPr>
              <w:t>（8:30-9:45）</w:t>
            </w:r>
          </w:p>
          <w:p>
            <w:pPr>
              <w:spacing w:line="240" w:lineRule="atLeast"/>
              <w:jc w:val="center"/>
              <w:rPr>
                <w:color w:val="000000"/>
                <w:sz w:val="30"/>
                <w:szCs w:val="30"/>
              </w:rPr>
            </w:pPr>
            <w:r>
              <w:rPr>
                <w:color w:val="000000"/>
                <w:sz w:val="30"/>
                <w:szCs w:val="30"/>
              </w:rPr>
              <w:t>地理</w:t>
            </w:r>
          </w:p>
          <w:p>
            <w:pPr>
              <w:spacing w:line="240" w:lineRule="atLeast"/>
              <w:jc w:val="center"/>
              <w:rPr>
                <w:color w:val="000000"/>
                <w:spacing w:val="-20"/>
                <w:sz w:val="30"/>
                <w:szCs w:val="30"/>
              </w:rPr>
            </w:pPr>
            <w:r>
              <w:rPr>
                <w:color w:val="000000"/>
                <w:sz w:val="30"/>
                <w:szCs w:val="30"/>
              </w:rPr>
              <w:t>（11:00-12:15）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1357" w:type="dxa"/>
            <w:tcBorders>
              <w:left w:val="single" w:color="auto" w:sz="8" w:space="0"/>
              <w:bottom w:val="single" w:color="auto" w:sz="8" w:space="0"/>
            </w:tcBorders>
            <w:vAlign w:val="center"/>
          </w:tcPr>
          <w:p>
            <w:pPr>
              <w:spacing w:line="360" w:lineRule="exact"/>
              <w:jc w:val="center"/>
              <w:rPr>
                <w:color w:val="000000"/>
                <w:sz w:val="30"/>
                <w:szCs w:val="30"/>
              </w:rPr>
            </w:pPr>
            <w:r>
              <w:rPr>
                <w:color w:val="000000"/>
                <w:sz w:val="30"/>
                <w:szCs w:val="30"/>
              </w:rPr>
              <w:t>下午</w:t>
            </w:r>
          </w:p>
        </w:tc>
        <w:tc>
          <w:tcPr>
            <w:tcW w:w="2283" w:type="dxa"/>
            <w:tcBorders>
              <w:bottom w:val="single" w:color="auto" w:sz="8" w:space="0"/>
            </w:tcBorders>
            <w:vAlign w:val="center"/>
          </w:tcPr>
          <w:p>
            <w:pPr>
              <w:spacing w:line="360" w:lineRule="exact"/>
              <w:jc w:val="center"/>
              <w:rPr>
                <w:color w:val="000000"/>
                <w:sz w:val="30"/>
                <w:szCs w:val="30"/>
              </w:rPr>
            </w:pPr>
            <w:r>
              <w:rPr>
                <w:color w:val="000000"/>
                <w:sz w:val="30"/>
                <w:szCs w:val="30"/>
              </w:rPr>
              <w:t>数学</w:t>
            </w:r>
          </w:p>
          <w:p>
            <w:pPr>
              <w:spacing w:line="360" w:lineRule="exact"/>
              <w:jc w:val="center"/>
              <w:rPr>
                <w:color w:val="000000"/>
                <w:sz w:val="30"/>
                <w:szCs w:val="30"/>
              </w:rPr>
            </w:pPr>
            <w:r>
              <w:rPr>
                <w:color w:val="000000"/>
                <w:sz w:val="30"/>
                <w:szCs w:val="30"/>
              </w:rPr>
              <w:t>（15:00-17:00）</w:t>
            </w:r>
          </w:p>
        </w:tc>
        <w:tc>
          <w:tcPr>
            <w:tcW w:w="2283" w:type="dxa"/>
            <w:tcBorders>
              <w:bottom w:val="single" w:color="auto" w:sz="8" w:space="0"/>
            </w:tcBorders>
            <w:vAlign w:val="center"/>
          </w:tcPr>
          <w:p>
            <w:pPr>
              <w:spacing w:line="360" w:lineRule="exact"/>
              <w:jc w:val="center"/>
              <w:rPr>
                <w:color w:val="000000"/>
                <w:sz w:val="30"/>
                <w:szCs w:val="30"/>
              </w:rPr>
            </w:pPr>
            <w:r>
              <w:rPr>
                <w:color w:val="000000"/>
                <w:sz w:val="30"/>
                <w:szCs w:val="30"/>
              </w:rPr>
              <w:t>外语</w:t>
            </w:r>
          </w:p>
          <w:p>
            <w:pPr>
              <w:spacing w:line="360" w:lineRule="exact"/>
              <w:jc w:val="center"/>
              <w:rPr>
                <w:color w:val="000000"/>
                <w:sz w:val="30"/>
                <w:szCs w:val="30"/>
              </w:rPr>
            </w:pPr>
            <w:r>
              <w:rPr>
                <w:color w:val="000000"/>
                <w:sz w:val="30"/>
                <w:szCs w:val="30"/>
              </w:rPr>
              <w:t>（15:00-17:00）</w:t>
            </w:r>
          </w:p>
        </w:tc>
        <w:tc>
          <w:tcPr>
            <w:tcW w:w="2737" w:type="dxa"/>
            <w:tcBorders>
              <w:bottom w:val="single" w:color="auto" w:sz="8" w:space="0"/>
              <w:right w:val="single" w:color="auto" w:sz="8" w:space="0"/>
            </w:tcBorders>
            <w:vAlign w:val="center"/>
          </w:tcPr>
          <w:p>
            <w:pPr>
              <w:spacing w:line="240" w:lineRule="atLeast"/>
              <w:jc w:val="center"/>
              <w:rPr>
                <w:color w:val="000000"/>
                <w:sz w:val="30"/>
                <w:szCs w:val="30"/>
              </w:rPr>
            </w:pPr>
            <w:r>
              <w:rPr>
                <w:color w:val="000000"/>
                <w:sz w:val="30"/>
                <w:szCs w:val="30"/>
              </w:rPr>
              <w:t>思想政治</w:t>
            </w:r>
          </w:p>
          <w:p>
            <w:pPr>
              <w:spacing w:line="240" w:lineRule="atLeast"/>
              <w:jc w:val="center"/>
              <w:rPr>
                <w:color w:val="000000"/>
                <w:sz w:val="30"/>
                <w:szCs w:val="30"/>
              </w:rPr>
            </w:pPr>
            <w:r>
              <w:rPr>
                <w:color w:val="000000"/>
                <w:sz w:val="30"/>
                <w:szCs w:val="30"/>
              </w:rPr>
              <w:t>（14:30-15:45）</w:t>
            </w:r>
          </w:p>
          <w:p>
            <w:pPr>
              <w:spacing w:line="240" w:lineRule="atLeast"/>
              <w:jc w:val="center"/>
              <w:rPr>
                <w:color w:val="000000"/>
                <w:sz w:val="30"/>
                <w:szCs w:val="30"/>
              </w:rPr>
            </w:pPr>
            <w:r>
              <w:rPr>
                <w:color w:val="000000"/>
                <w:sz w:val="30"/>
                <w:szCs w:val="30"/>
              </w:rPr>
              <w:t>生物</w:t>
            </w:r>
          </w:p>
          <w:p>
            <w:pPr>
              <w:spacing w:line="240" w:lineRule="atLeast"/>
              <w:ind w:left="-92" w:leftChars="-44" w:right="-134" w:rightChars="-64"/>
              <w:jc w:val="center"/>
              <w:rPr>
                <w:color w:val="000000"/>
                <w:w w:val="90"/>
                <w:sz w:val="24"/>
              </w:rPr>
            </w:pPr>
            <w:r>
              <w:rPr>
                <w:color w:val="000000"/>
                <w:sz w:val="30"/>
                <w:szCs w:val="30"/>
              </w:rPr>
              <w:t>（17:00-18:15）</w:t>
            </w:r>
          </w:p>
        </w:tc>
      </w:tr>
    </w:tbl>
    <w:p>
      <w:pPr>
        <w:spacing w:line="480" w:lineRule="exact"/>
        <w:rPr>
          <w:bCs/>
          <w:color w:val="000000"/>
          <w:sz w:val="36"/>
        </w:rPr>
      </w:pPr>
    </w:p>
    <w:p>
      <w:pPr>
        <w:spacing w:line="520" w:lineRule="exact"/>
        <w:rPr>
          <w:bCs/>
          <w:color w:val="000000"/>
          <w:sz w:val="36"/>
        </w:rPr>
      </w:pPr>
    </w:p>
    <w:p>
      <w:pPr>
        <w:spacing w:line="520" w:lineRule="exact"/>
        <w:rPr>
          <w:bCs/>
          <w:color w:val="000000"/>
          <w:sz w:val="36"/>
        </w:rPr>
      </w:pPr>
    </w:p>
    <w:p>
      <w:pPr>
        <w:spacing w:line="520" w:lineRule="exact"/>
        <w:rPr>
          <w:bCs/>
          <w:color w:val="000000"/>
          <w:sz w:val="36"/>
        </w:rPr>
      </w:pPr>
    </w:p>
    <w:p>
      <w:pPr>
        <w:spacing w:line="520" w:lineRule="exact"/>
        <w:rPr>
          <w:bCs/>
          <w:color w:val="000000"/>
          <w:sz w:val="36"/>
        </w:rPr>
      </w:pPr>
    </w:p>
    <w:p>
      <w:pPr>
        <w:spacing w:line="520" w:lineRule="exact"/>
        <w:rPr>
          <w:bCs/>
          <w:color w:val="000000"/>
          <w:sz w:val="36"/>
        </w:rPr>
      </w:pPr>
    </w:p>
    <w:p>
      <w:pPr>
        <w:spacing w:line="520" w:lineRule="exact"/>
        <w:rPr>
          <w:bCs/>
          <w:color w:val="000000"/>
          <w:sz w:val="36"/>
        </w:rPr>
      </w:pPr>
    </w:p>
    <w:p>
      <w:pPr>
        <w:pBdr>
          <w:top w:val="single" w:color="000000" w:sz="6" w:space="1"/>
        </w:pBdr>
        <w:spacing w:line="520" w:lineRule="exact"/>
        <w:ind w:firstLine="280" w:firstLineChars="100"/>
        <w:rPr>
          <w:rFonts w:eastAsia="仿宋_GB2312"/>
          <w:color w:val="000000"/>
          <w:sz w:val="28"/>
          <w:szCs w:val="28"/>
        </w:rPr>
      </w:pPr>
      <w:r>
        <w:rPr>
          <w:rFonts w:eastAsia="仿宋_GB2312"/>
          <w:color w:val="000000"/>
          <w:sz w:val="28"/>
          <w:szCs w:val="28"/>
        </w:rPr>
        <w:t>抄送：教育部办公厅，各设区市、县（市、区）教育局。</w:t>
      </w:r>
    </w:p>
    <w:p>
      <w:pPr>
        <w:pBdr>
          <w:top w:val="single" w:color="000000" w:sz="4" w:space="1"/>
          <w:bottom w:val="single" w:color="000000" w:sz="6" w:space="1"/>
        </w:pBdr>
        <w:spacing w:line="520" w:lineRule="exact"/>
        <w:ind w:firstLine="280" w:firstLineChars="100"/>
        <w:rPr>
          <w:bCs/>
          <w:color w:val="000000"/>
          <w:sz w:val="36"/>
        </w:rPr>
      </w:pPr>
      <w:r>
        <w:rPr>
          <w:rFonts w:eastAsia="仿宋_GB2312"/>
          <w:color w:val="000000"/>
          <w:sz w:val="28"/>
          <w:szCs w:val="28"/>
        </w:rPr>
        <w:t>江苏省高等学校招生委员会办公室        2023年4月26 日印发</w:t>
      </w:r>
    </w:p>
    <w:sectPr>
      <w:footerReference r:id="rId3" w:type="default"/>
      <w:footerReference r:id="rId4" w:type="even"/>
      <w:pgSz w:w="11906" w:h="16838"/>
      <w:pgMar w:top="2098" w:right="1531" w:bottom="1985" w:left="1531" w:header="851" w:footer="90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6"/>
        <w:rFonts w:ascii="宋体" w:hAnsi="宋体"/>
        <w:sz w:val="28"/>
        <w:szCs w:val="28"/>
      </w:rPr>
    </w:pP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- 32 -</w:t>
    </w:r>
    <w:r>
      <w:rPr>
        <w:rStyle w:val="16"/>
        <w:rFonts w:ascii="宋体" w:hAnsi="宋体"/>
        <w:sz w:val="28"/>
        <w:szCs w:val="28"/>
      </w:rPr>
      <w:fldChar w:fldCharType="end"/>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NjRlMGZlMjUxNzc2OTJmODdiNTk1ZTQxZWY3MDIifQ=="/>
  </w:docVars>
  <w:rsids>
    <w:rsidRoot w:val="005F4C79"/>
    <w:rsid w:val="000000FE"/>
    <w:rsid w:val="00000140"/>
    <w:rsid w:val="00001DA3"/>
    <w:rsid w:val="00004DD4"/>
    <w:rsid w:val="00005BEB"/>
    <w:rsid w:val="00010777"/>
    <w:rsid w:val="00010A9C"/>
    <w:rsid w:val="000112AA"/>
    <w:rsid w:val="000132BD"/>
    <w:rsid w:val="0001332C"/>
    <w:rsid w:val="00013A33"/>
    <w:rsid w:val="00015A69"/>
    <w:rsid w:val="00016F50"/>
    <w:rsid w:val="000207BD"/>
    <w:rsid w:val="00020B06"/>
    <w:rsid w:val="00020E01"/>
    <w:rsid w:val="00021AF2"/>
    <w:rsid w:val="00025291"/>
    <w:rsid w:val="00025E19"/>
    <w:rsid w:val="000266F4"/>
    <w:rsid w:val="00027073"/>
    <w:rsid w:val="00027E45"/>
    <w:rsid w:val="000317C0"/>
    <w:rsid w:val="0003768A"/>
    <w:rsid w:val="00037899"/>
    <w:rsid w:val="00041737"/>
    <w:rsid w:val="000427AD"/>
    <w:rsid w:val="0004447B"/>
    <w:rsid w:val="00045750"/>
    <w:rsid w:val="000457DD"/>
    <w:rsid w:val="000458EC"/>
    <w:rsid w:val="00045C27"/>
    <w:rsid w:val="00050361"/>
    <w:rsid w:val="00051C07"/>
    <w:rsid w:val="00052250"/>
    <w:rsid w:val="00052967"/>
    <w:rsid w:val="00052CE6"/>
    <w:rsid w:val="0005366D"/>
    <w:rsid w:val="000545BB"/>
    <w:rsid w:val="0005463D"/>
    <w:rsid w:val="00054822"/>
    <w:rsid w:val="00055605"/>
    <w:rsid w:val="00060B32"/>
    <w:rsid w:val="00060EFC"/>
    <w:rsid w:val="000652D9"/>
    <w:rsid w:val="00070767"/>
    <w:rsid w:val="00070EC0"/>
    <w:rsid w:val="00071199"/>
    <w:rsid w:val="00071875"/>
    <w:rsid w:val="000720D9"/>
    <w:rsid w:val="0007265F"/>
    <w:rsid w:val="00072849"/>
    <w:rsid w:val="0007301A"/>
    <w:rsid w:val="00075081"/>
    <w:rsid w:val="00076154"/>
    <w:rsid w:val="0008155B"/>
    <w:rsid w:val="000825A7"/>
    <w:rsid w:val="00082BC9"/>
    <w:rsid w:val="00084262"/>
    <w:rsid w:val="00084CF3"/>
    <w:rsid w:val="00085724"/>
    <w:rsid w:val="000860C4"/>
    <w:rsid w:val="0008613A"/>
    <w:rsid w:val="00086D1D"/>
    <w:rsid w:val="00087563"/>
    <w:rsid w:val="0009092D"/>
    <w:rsid w:val="00091953"/>
    <w:rsid w:val="00092654"/>
    <w:rsid w:val="00093BBC"/>
    <w:rsid w:val="000947E1"/>
    <w:rsid w:val="00094D7A"/>
    <w:rsid w:val="000979C1"/>
    <w:rsid w:val="000A0F01"/>
    <w:rsid w:val="000A123D"/>
    <w:rsid w:val="000A3484"/>
    <w:rsid w:val="000A4D73"/>
    <w:rsid w:val="000A51B7"/>
    <w:rsid w:val="000A6CC1"/>
    <w:rsid w:val="000A7B38"/>
    <w:rsid w:val="000B0139"/>
    <w:rsid w:val="000B0EEC"/>
    <w:rsid w:val="000B2B46"/>
    <w:rsid w:val="000C07AD"/>
    <w:rsid w:val="000C11EB"/>
    <w:rsid w:val="000C229B"/>
    <w:rsid w:val="000C2C05"/>
    <w:rsid w:val="000C51C8"/>
    <w:rsid w:val="000C581A"/>
    <w:rsid w:val="000C7748"/>
    <w:rsid w:val="000D0DAB"/>
    <w:rsid w:val="000D5125"/>
    <w:rsid w:val="000D5555"/>
    <w:rsid w:val="000D6F31"/>
    <w:rsid w:val="000D7519"/>
    <w:rsid w:val="000E0890"/>
    <w:rsid w:val="000E45F7"/>
    <w:rsid w:val="000E50C3"/>
    <w:rsid w:val="000E5FC7"/>
    <w:rsid w:val="000E661A"/>
    <w:rsid w:val="000F141E"/>
    <w:rsid w:val="000F1651"/>
    <w:rsid w:val="000F23F7"/>
    <w:rsid w:val="000F2A93"/>
    <w:rsid w:val="000F2ED5"/>
    <w:rsid w:val="000F2FB1"/>
    <w:rsid w:val="000F3728"/>
    <w:rsid w:val="000F477F"/>
    <w:rsid w:val="00102095"/>
    <w:rsid w:val="00104D67"/>
    <w:rsid w:val="001052C1"/>
    <w:rsid w:val="001063B1"/>
    <w:rsid w:val="001116BC"/>
    <w:rsid w:val="00112041"/>
    <w:rsid w:val="001156B6"/>
    <w:rsid w:val="001158AF"/>
    <w:rsid w:val="00115AB4"/>
    <w:rsid w:val="00122B64"/>
    <w:rsid w:val="0012349D"/>
    <w:rsid w:val="0012429C"/>
    <w:rsid w:val="00124EAB"/>
    <w:rsid w:val="00125071"/>
    <w:rsid w:val="0012605E"/>
    <w:rsid w:val="00126623"/>
    <w:rsid w:val="00130B5F"/>
    <w:rsid w:val="00130C8E"/>
    <w:rsid w:val="00131CC8"/>
    <w:rsid w:val="00132E46"/>
    <w:rsid w:val="00133B25"/>
    <w:rsid w:val="00133BAD"/>
    <w:rsid w:val="00136CE3"/>
    <w:rsid w:val="001405B7"/>
    <w:rsid w:val="001419F7"/>
    <w:rsid w:val="001463E2"/>
    <w:rsid w:val="00147628"/>
    <w:rsid w:val="00150154"/>
    <w:rsid w:val="00151304"/>
    <w:rsid w:val="00151781"/>
    <w:rsid w:val="00153725"/>
    <w:rsid w:val="00153855"/>
    <w:rsid w:val="00154D68"/>
    <w:rsid w:val="00155B5E"/>
    <w:rsid w:val="00160A6F"/>
    <w:rsid w:val="001611ED"/>
    <w:rsid w:val="00163AFA"/>
    <w:rsid w:val="00165403"/>
    <w:rsid w:val="00166399"/>
    <w:rsid w:val="00174443"/>
    <w:rsid w:val="001750D5"/>
    <w:rsid w:val="00175BF8"/>
    <w:rsid w:val="00176C51"/>
    <w:rsid w:val="00180306"/>
    <w:rsid w:val="00180405"/>
    <w:rsid w:val="00182640"/>
    <w:rsid w:val="00193B47"/>
    <w:rsid w:val="00195B32"/>
    <w:rsid w:val="001A14C3"/>
    <w:rsid w:val="001A3B60"/>
    <w:rsid w:val="001A4DCC"/>
    <w:rsid w:val="001A507B"/>
    <w:rsid w:val="001A566D"/>
    <w:rsid w:val="001A5A4D"/>
    <w:rsid w:val="001A6187"/>
    <w:rsid w:val="001A7E07"/>
    <w:rsid w:val="001B146E"/>
    <w:rsid w:val="001B1565"/>
    <w:rsid w:val="001B2014"/>
    <w:rsid w:val="001B29CA"/>
    <w:rsid w:val="001B359D"/>
    <w:rsid w:val="001B55A8"/>
    <w:rsid w:val="001B5B18"/>
    <w:rsid w:val="001B5B9F"/>
    <w:rsid w:val="001B5FCF"/>
    <w:rsid w:val="001B5FFF"/>
    <w:rsid w:val="001B61FB"/>
    <w:rsid w:val="001B6E60"/>
    <w:rsid w:val="001C0069"/>
    <w:rsid w:val="001C0477"/>
    <w:rsid w:val="001C1DCB"/>
    <w:rsid w:val="001C3F1F"/>
    <w:rsid w:val="001C6088"/>
    <w:rsid w:val="001D01F6"/>
    <w:rsid w:val="001D06F0"/>
    <w:rsid w:val="001D181D"/>
    <w:rsid w:val="001D4673"/>
    <w:rsid w:val="001D57A7"/>
    <w:rsid w:val="001D5B91"/>
    <w:rsid w:val="001E0B79"/>
    <w:rsid w:val="001E1A10"/>
    <w:rsid w:val="001E48CD"/>
    <w:rsid w:val="001E5616"/>
    <w:rsid w:val="001E6176"/>
    <w:rsid w:val="001E71B2"/>
    <w:rsid w:val="001E7862"/>
    <w:rsid w:val="001F30DD"/>
    <w:rsid w:val="001F4A17"/>
    <w:rsid w:val="001F4FCE"/>
    <w:rsid w:val="001F55C0"/>
    <w:rsid w:val="001F56A9"/>
    <w:rsid w:val="001F58E7"/>
    <w:rsid w:val="001F7731"/>
    <w:rsid w:val="00200573"/>
    <w:rsid w:val="00200A6E"/>
    <w:rsid w:val="0020206D"/>
    <w:rsid w:val="00203294"/>
    <w:rsid w:val="002057F5"/>
    <w:rsid w:val="00210DAC"/>
    <w:rsid w:val="00211D69"/>
    <w:rsid w:val="00212F1D"/>
    <w:rsid w:val="00213EE8"/>
    <w:rsid w:val="002224FE"/>
    <w:rsid w:val="00223429"/>
    <w:rsid w:val="00224374"/>
    <w:rsid w:val="00225F01"/>
    <w:rsid w:val="00225FAC"/>
    <w:rsid w:val="0022652B"/>
    <w:rsid w:val="00226884"/>
    <w:rsid w:val="00226E8F"/>
    <w:rsid w:val="00230188"/>
    <w:rsid w:val="002317F5"/>
    <w:rsid w:val="002322A4"/>
    <w:rsid w:val="002329E1"/>
    <w:rsid w:val="00232C84"/>
    <w:rsid w:val="00232EF6"/>
    <w:rsid w:val="00233A54"/>
    <w:rsid w:val="002349B7"/>
    <w:rsid w:val="00236D63"/>
    <w:rsid w:val="00237D10"/>
    <w:rsid w:val="002409C9"/>
    <w:rsid w:val="00240A23"/>
    <w:rsid w:val="0024315E"/>
    <w:rsid w:val="00244C82"/>
    <w:rsid w:val="00244F31"/>
    <w:rsid w:val="0024585D"/>
    <w:rsid w:val="00247209"/>
    <w:rsid w:val="00247DE1"/>
    <w:rsid w:val="002507AA"/>
    <w:rsid w:val="00250CAB"/>
    <w:rsid w:val="00251B09"/>
    <w:rsid w:val="0025278C"/>
    <w:rsid w:val="002531FB"/>
    <w:rsid w:val="00254DFC"/>
    <w:rsid w:val="00255545"/>
    <w:rsid w:val="002559E3"/>
    <w:rsid w:val="002608C6"/>
    <w:rsid w:val="00261162"/>
    <w:rsid w:val="00261687"/>
    <w:rsid w:val="002658BB"/>
    <w:rsid w:val="00265E31"/>
    <w:rsid w:val="00266654"/>
    <w:rsid w:val="00273516"/>
    <w:rsid w:val="00273A96"/>
    <w:rsid w:val="0028062C"/>
    <w:rsid w:val="0028558E"/>
    <w:rsid w:val="00285602"/>
    <w:rsid w:val="00285AD1"/>
    <w:rsid w:val="00285E72"/>
    <w:rsid w:val="00286B41"/>
    <w:rsid w:val="00287AEA"/>
    <w:rsid w:val="00287AED"/>
    <w:rsid w:val="0029060F"/>
    <w:rsid w:val="002912A7"/>
    <w:rsid w:val="00291821"/>
    <w:rsid w:val="00293426"/>
    <w:rsid w:val="00293A69"/>
    <w:rsid w:val="00294C98"/>
    <w:rsid w:val="00294CC4"/>
    <w:rsid w:val="002975F5"/>
    <w:rsid w:val="002A05D2"/>
    <w:rsid w:val="002A2C2D"/>
    <w:rsid w:val="002A444E"/>
    <w:rsid w:val="002A47F2"/>
    <w:rsid w:val="002A6291"/>
    <w:rsid w:val="002A6315"/>
    <w:rsid w:val="002A7A8D"/>
    <w:rsid w:val="002A7C47"/>
    <w:rsid w:val="002B1B13"/>
    <w:rsid w:val="002B3455"/>
    <w:rsid w:val="002B4449"/>
    <w:rsid w:val="002B6709"/>
    <w:rsid w:val="002B7721"/>
    <w:rsid w:val="002B78A2"/>
    <w:rsid w:val="002C04A4"/>
    <w:rsid w:val="002C0760"/>
    <w:rsid w:val="002C12B6"/>
    <w:rsid w:val="002C48A6"/>
    <w:rsid w:val="002C4CC2"/>
    <w:rsid w:val="002C60B8"/>
    <w:rsid w:val="002C68F1"/>
    <w:rsid w:val="002D08BC"/>
    <w:rsid w:val="002D1018"/>
    <w:rsid w:val="002D1FC4"/>
    <w:rsid w:val="002D2DF6"/>
    <w:rsid w:val="002D3987"/>
    <w:rsid w:val="002D7338"/>
    <w:rsid w:val="002E03C5"/>
    <w:rsid w:val="002E0415"/>
    <w:rsid w:val="002E1602"/>
    <w:rsid w:val="002E1DF6"/>
    <w:rsid w:val="002E215D"/>
    <w:rsid w:val="002E308C"/>
    <w:rsid w:val="002E30FD"/>
    <w:rsid w:val="002E350F"/>
    <w:rsid w:val="002E6216"/>
    <w:rsid w:val="002E7AAA"/>
    <w:rsid w:val="002E7B6B"/>
    <w:rsid w:val="002F1ACB"/>
    <w:rsid w:val="002F5325"/>
    <w:rsid w:val="002F60B3"/>
    <w:rsid w:val="002F619F"/>
    <w:rsid w:val="002F7471"/>
    <w:rsid w:val="002F773B"/>
    <w:rsid w:val="00302335"/>
    <w:rsid w:val="00303DAC"/>
    <w:rsid w:val="00306472"/>
    <w:rsid w:val="00306D40"/>
    <w:rsid w:val="003075BF"/>
    <w:rsid w:val="0031066F"/>
    <w:rsid w:val="00310CE4"/>
    <w:rsid w:val="00310EC9"/>
    <w:rsid w:val="00312995"/>
    <w:rsid w:val="00317381"/>
    <w:rsid w:val="0032004B"/>
    <w:rsid w:val="0032085D"/>
    <w:rsid w:val="00321BA0"/>
    <w:rsid w:val="00321EBF"/>
    <w:rsid w:val="003232EF"/>
    <w:rsid w:val="00323EAB"/>
    <w:rsid w:val="0032698D"/>
    <w:rsid w:val="00326D78"/>
    <w:rsid w:val="00326EFE"/>
    <w:rsid w:val="003303B9"/>
    <w:rsid w:val="003305F8"/>
    <w:rsid w:val="00331E06"/>
    <w:rsid w:val="003341B5"/>
    <w:rsid w:val="00335094"/>
    <w:rsid w:val="00336801"/>
    <w:rsid w:val="00337825"/>
    <w:rsid w:val="00340C1E"/>
    <w:rsid w:val="00341D67"/>
    <w:rsid w:val="00342009"/>
    <w:rsid w:val="00342CB4"/>
    <w:rsid w:val="00346305"/>
    <w:rsid w:val="00346C89"/>
    <w:rsid w:val="003501A2"/>
    <w:rsid w:val="00350310"/>
    <w:rsid w:val="003511F7"/>
    <w:rsid w:val="003515E0"/>
    <w:rsid w:val="00351D67"/>
    <w:rsid w:val="00352442"/>
    <w:rsid w:val="003527ED"/>
    <w:rsid w:val="00355708"/>
    <w:rsid w:val="0035572C"/>
    <w:rsid w:val="00357416"/>
    <w:rsid w:val="00357F95"/>
    <w:rsid w:val="00361375"/>
    <w:rsid w:val="003614E1"/>
    <w:rsid w:val="003619EE"/>
    <w:rsid w:val="00363A84"/>
    <w:rsid w:val="00364DB5"/>
    <w:rsid w:val="0036556E"/>
    <w:rsid w:val="00365C51"/>
    <w:rsid w:val="003666C8"/>
    <w:rsid w:val="00366FB6"/>
    <w:rsid w:val="003675B1"/>
    <w:rsid w:val="00367FC6"/>
    <w:rsid w:val="0037038B"/>
    <w:rsid w:val="00371206"/>
    <w:rsid w:val="00372158"/>
    <w:rsid w:val="0037293F"/>
    <w:rsid w:val="00372BF7"/>
    <w:rsid w:val="00373159"/>
    <w:rsid w:val="00376E4D"/>
    <w:rsid w:val="00377A37"/>
    <w:rsid w:val="0038711A"/>
    <w:rsid w:val="003876E8"/>
    <w:rsid w:val="003900AF"/>
    <w:rsid w:val="00391509"/>
    <w:rsid w:val="00391821"/>
    <w:rsid w:val="00391DF9"/>
    <w:rsid w:val="00393513"/>
    <w:rsid w:val="00394B0B"/>
    <w:rsid w:val="003A01AD"/>
    <w:rsid w:val="003A1D19"/>
    <w:rsid w:val="003A509F"/>
    <w:rsid w:val="003A6CD4"/>
    <w:rsid w:val="003A70B2"/>
    <w:rsid w:val="003B0459"/>
    <w:rsid w:val="003B08E1"/>
    <w:rsid w:val="003B0EB3"/>
    <w:rsid w:val="003B10D6"/>
    <w:rsid w:val="003B1B70"/>
    <w:rsid w:val="003B1D4F"/>
    <w:rsid w:val="003B2323"/>
    <w:rsid w:val="003B2A86"/>
    <w:rsid w:val="003B3737"/>
    <w:rsid w:val="003B38CC"/>
    <w:rsid w:val="003B3D12"/>
    <w:rsid w:val="003B4D89"/>
    <w:rsid w:val="003B5695"/>
    <w:rsid w:val="003B6290"/>
    <w:rsid w:val="003B7B69"/>
    <w:rsid w:val="003C33CC"/>
    <w:rsid w:val="003C3BFC"/>
    <w:rsid w:val="003C4E64"/>
    <w:rsid w:val="003C556E"/>
    <w:rsid w:val="003C6317"/>
    <w:rsid w:val="003C7A70"/>
    <w:rsid w:val="003D013F"/>
    <w:rsid w:val="003D1255"/>
    <w:rsid w:val="003D2679"/>
    <w:rsid w:val="003D3546"/>
    <w:rsid w:val="003D3908"/>
    <w:rsid w:val="003D4C1C"/>
    <w:rsid w:val="003D52F5"/>
    <w:rsid w:val="003D563E"/>
    <w:rsid w:val="003D7345"/>
    <w:rsid w:val="003E0608"/>
    <w:rsid w:val="003E0B57"/>
    <w:rsid w:val="003E1FEF"/>
    <w:rsid w:val="003E2E0B"/>
    <w:rsid w:val="003E5F63"/>
    <w:rsid w:val="003E627D"/>
    <w:rsid w:val="003E6D86"/>
    <w:rsid w:val="003F05C7"/>
    <w:rsid w:val="003F0A29"/>
    <w:rsid w:val="003F1B66"/>
    <w:rsid w:val="003F260D"/>
    <w:rsid w:val="003F3E8C"/>
    <w:rsid w:val="003F4213"/>
    <w:rsid w:val="003F4BF9"/>
    <w:rsid w:val="003F4F21"/>
    <w:rsid w:val="003F60FD"/>
    <w:rsid w:val="00401102"/>
    <w:rsid w:val="00402596"/>
    <w:rsid w:val="00403144"/>
    <w:rsid w:val="0040429D"/>
    <w:rsid w:val="00404BFE"/>
    <w:rsid w:val="00404DE8"/>
    <w:rsid w:val="004062F3"/>
    <w:rsid w:val="00412007"/>
    <w:rsid w:val="00412A5E"/>
    <w:rsid w:val="00414698"/>
    <w:rsid w:val="004170A0"/>
    <w:rsid w:val="004176F8"/>
    <w:rsid w:val="00420A21"/>
    <w:rsid w:val="00422482"/>
    <w:rsid w:val="0042314C"/>
    <w:rsid w:val="00424D1B"/>
    <w:rsid w:val="00426034"/>
    <w:rsid w:val="0042618D"/>
    <w:rsid w:val="0042671E"/>
    <w:rsid w:val="00426AA2"/>
    <w:rsid w:val="00431CA7"/>
    <w:rsid w:val="00431D0C"/>
    <w:rsid w:val="00433A8A"/>
    <w:rsid w:val="004343A5"/>
    <w:rsid w:val="00436281"/>
    <w:rsid w:val="004411B0"/>
    <w:rsid w:val="004425D5"/>
    <w:rsid w:val="0044550B"/>
    <w:rsid w:val="00447394"/>
    <w:rsid w:val="0045030F"/>
    <w:rsid w:val="00450675"/>
    <w:rsid w:val="00451A23"/>
    <w:rsid w:val="00451BFC"/>
    <w:rsid w:val="004520A3"/>
    <w:rsid w:val="00454163"/>
    <w:rsid w:val="00455249"/>
    <w:rsid w:val="00455344"/>
    <w:rsid w:val="00456F91"/>
    <w:rsid w:val="00457A0F"/>
    <w:rsid w:val="00462018"/>
    <w:rsid w:val="00464B1F"/>
    <w:rsid w:val="00466582"/>
    <w:rsid w:val="00466B91"/>
    <w:rsid w:val="004670D7"/>
    <w:rsid w:val="004676F0"/>
    <w:rsid w:val="00470F61"/>
    <w:rsid w:val="00471326"/>
    <w:rsid w:val="00473359"/>
    <w:rsid w:val="004748E1"/>
    <w:rsid w:val="00481E54"/>
    <w:rsid w:val="00484E91"/>
    <w:rsid w:val="00487392"/>
    <w:rsid w:val="004876C4"/>
    <w:rsid w:val="00487BBF"/>
    <w:rsid w:val="0049035B"/>
    <w:rsid w:val="004904D2"/>
    <w:rsid w:val="00491ADB"/>
    <w:rsid w:val="0049289B"/>
    <w:rsid w:val="00493BBF"/>
    <w:rsid w:val="00493E69"/>
    <w:rsid w:val="0049679B"/>
    <w:rsid w:val="004A0676"/>
    <w:rsid w:val="004A2389"/>
    <w:rsid w:val="004A45DE"/>
    <w:rsid w:val="004A4F40"/>
    <w:rsid w:val="004A567D"/>
    <w:rsid w:val="004A6611"/>
    <w:rsid w:val="004A7042"/>
    <w:rsid w:val="004A72C7"/>
    <w:rsid w:val="004B0361"/>
    <w:rsid w:val="004B2E26"/>
    <w:rsid w:val="004B6029"/>
    <w:rsid w:val="004B6074"/>
    <w:rsid w:val="004C189C"/>
    <w:rsid w:val="004C1997"/>
    <w:rsid w:val="004C275A"/>
    <w:rsid w:val="004C32E6"/>
    <w:rsid w:val="004C4397"/>
    <w:rsid w:val="004C44B9"/>
    <w:rsid w:val="004C5935"/>
    <w:rsid w:val="004C5CD5"/>
    <w:rsid w:val="004C769C"/>
    <w:rsid w:val="004C77E0"/>
    <w:rsid w:val="004C7AD2"/>
    <w:rsid w:val="004D1044"/>
    <w:rsid w:val="004D1941"/>
    <w:rsid w:val="004D2E0B"/>
    <w:rsid w:val="004D3B01"/>
    <w:rsid w:val="004D3B67"/>
    <w:rsid w:val="004D4C51"/>
    <w:rsid w:val="004D6641"/>
    <w:rsid w:val="004D704E"/>
    <w:rsid w:val="004D70CC"/>
    <w:rsid w:val="004D7861"/>
    <w:rsid w:val="004E0604"/>
    <w:rsid w:val="004E111A"/>
    <w:rsid w:val="004E47A9"/>
    <w:rsid w:val="004E4D41"/>
    <w:rsid w:val="004E5656"/>
    <w:rsid w:val="004E59AB"/>
    <w:rsid w:val="004E63F2"/>
    <w:rsid w:val="004E6786"/>
    <w:rsid w:val="004E735F"/>
    <w:rsid w:val="004E76A0"/>
    <w:rsid w:val="004E7F0D"/>
    <w:rsid w:val="004F2067"/>
    <w:rsid w:val="004F2074"/>
    <w:rsid w:val="004F24C5"/>
    <w:rsid w:val="004F3F97"/>
    <w:rsid w:val="004F46EF"/>
    <w:rsid w:val="004F544E"/>
    <w:rsid w:val="005011C3"/>
    <w:rsid w:val="005020B5"/>
    <w:rsid w:val="005021EA"/>
    <w:rsid w:val="00503E94"/>
    <w:rsid w:val="00504317"/>
    <w:rsid w:val="0050433A"/>
    <w:rsid w:val="005048A5"/>
    <w:rsid w:val="005054F9"/>
    <w:rsid w:val="00505CC4"/>
    <w:rsid w:val="00506ADC"/>
    <w:rsid w:val="00506C9E"/>
    <w:rsid w:val="005073A3"/>
    <w:rsid w:val="00513E45"/>
    <w:rsid w:val="005162D7"/>
    <w:rsid w:val="005204FA"/>
    <w:rsid w:val="00520DE6"/>
    <w:rsid w:val="00522E8A"/>
    <w:rsid w:val="00523604"/>
    <w:rsid w:val="00524983"/>
    <w:rsid w:val="00524D02"/>
    <w:rsid w:val="00525CC6"/>
    <w:rsid w:val="0052745F"/>
    <w:rsid w:val="00527ADC"/>
    <w:rsid w:val="005309CC"/>
    <w:rsid w:val="005309E6"/>
    <w:rsid w:val="00530D22"/>
    <w:rsid w:val="005336AD"/>
    <w:rsid w:val="005348D1"/>
    <w:rsid w:val="00535CF8"/>
    <w:rsid w:val="005363C5"/>
    <w:rsid w:val="005400C9"/>
    <w:rsid w:val="00540E67"/>
    <w:rsid w:val="00542748"/>
    <w:rsid w:val="00546EEC"/>
    <w:rsid w:val="00551494"/>
    <w:rsid w:val="00552E10"/>
    <w:rsid w:val="00557566"/>
    <w:rsid w:val="00557640"/>
    <w:rsid w:val="0056175F"/>
    <w:rsid w:val="005617C8"/>
    <w:rsid w:val="0056187F"/>
    <w:rsid w:val="0056292D"/>
    <w:rsid w:val="00563D07"/>
    <w:rsid w:val="00563FD5"/>
    <w:rsid w:val="00564723"/>
    <w:rsid w:val="005659C3"/>
    <w:rsid w:val="00565CC0"/>
    <w:rsid w:val="005673A0"/>
    <w:rsid w:val="0057116F"/>
    <w:rsid w:val="005717AE"/>
    <w:rsid w:val="005736FA"/>
    <w:rsid w:val="00575710"/>
    <w:rsid w:val="00576CEC"/>
    <w:rsid w:val="005801F3"/>
    <w:rsid w:val="0058100A"/>
    <w:rsid w:val="00581387"/>
    <w:rsid w:val="0058175A"/>
    <w:rsid w:val="00582825"/>
    <w:rsid w:val="00583D12"/>
    <w:rsid w:val="00585344"/>
    <w:rsid w:val="00586326"/>
    <w:rsid w:val="005864DE"/>
    <w:rsid w:val="00587777"/>
    <w:rsid w:val="00590B25"/>
    <w:rsid w:val="00590EB3"/>
    <w:rsid w:val="00594BAF"/>
    <w:rsid w:val="00594BBE"/>
    <w:rsid w:val="00594C67"/>
    <w:rsid w:val="00595729"/>
    <w:rsid w:val="00595B65"/>
    <w:rsid w:val="00595BD2"/>
    <w:rsid w:val="0059641E"/>
    <w:rsid w:val="005972A8"/>
    <w:rsid w:val="005978C1"/>
    <w:rsid w:val="00597E71"/>
    <w:rsid w:val="005A3B06"/>
    <w:rsid w:val="005B020C"/>
    <w:rsid w:val="005B238B"/>
    <w:rsid w:val="005B2914"/>
    <w:rsid w:val="005B570F"/>
    <w:rsid w:val="005B6C45"/>
    <w:rsid w:val="005C01A3"/>
    <w:rsid w:val="005C1616"/>
    <w:rsid w:val="005C278F"/>
    <w:rsid w:val="005C2D24"/>
    <w:rsid w:val="005C35FC"/>
    <w:rsid w:val="005C3C2E"/>
    <w:rsid w:val="005C4927"/>
    <w:rsid w:val="005C4A25"/>
    <w:rsid w:val="005C59F8"/>
    <w:rsid w:val="005C6A5C"/>
    <w:rsid w:val="005D1365"/>
    <w:rsid w:val="005D1DFC"/>
    <w:rsid w:val="005D3062"/>
    <w:rsid w:val="005D7C35"/>
    <w:rsid w:val="005E2C4A"/>
    <w:rsid w:val="005E333D"/>
    <w:rsid w:val="005E5473"/>
    <w:rsid w:val="005E6DD4"/>
    <w:rsid w:val="005E7A73"/>
    <w:rsid w:val="005E7D6D"/>
    <w:rsid w:val="005F113F"/>
    <w:rsid w:val="005F20B3"/>
    <w:rsid w:val="005F235E"/>
    <w:rsid w:val="005F291F"/>
    <w:rsid w:val="005F4328"/>
    <w:rsid w:val="005F4C79"/>
    <w:rsid w:val="005F5E9D"/>
    <w:rsid w:val="005F7D2D"/>
    <w:rsid w:val="00603051"/>
    <w:rsid w:val="0060373E"/>
    <w:rsid w:val="00603782"/>
    <w:rsid w:val="006058E1"/>
    <w:rsid w:val="00605BEE"/>
    <w:rsid w:val="00607431"/>
    <w:rsid w:val="006075E9"/>
    <w:rsid w:val="006107C9"/>
    <w:rsid w:val="00610C38"/>
    <w:rsid w:val="00611AA2"/>
    <w:rsid w:val="00611C47"/>
    <w:rsid w:val="00612213"/>
    <w:rsid w:val="00613B2B"/>
    <w:rsid w:val="0061566B"/>
    <w:rsid w:val="006163F5"/>
    <w:rsid w:val="00620A0B"/>
    <w:rsid w:val="00621371"/>
    <w:rsid w:val="0062198C"/>
    <w:rsid w:val="00622C18"/>
    <w:rsid w:val="00622DDD"/>
    <w:rsid w:val="006247FA"/>
    <w:rsid w:val="0062566D"/>
    <w:rsid w:val="0063001D"/>
    <w:rsid w:val="00632247"/>
    <w:rsid w:val="00632CC6"/>
    <w:rsid w:val="00633E83"/>
    <w:rsid w:val="00634525"/>
    <w:rsid w:val="00635987"/>
    <w:rsid w:val="006378F2"/>
    <w:rsid w:val="00642602"/>
    <w:rsid w:val="00643049"/>
    <w:rsid w:val="00643BFA"/>
    <w:rsid w:val="00645AC9"/>
    <w:rsid w:val="0064703A"/>
    <w:rsid w:val="006479E3"/>
    <w:rsid w:val="00650814"/>
    <w:rsid w:val="00650CDD"/>
    <w:rsid w:val="00654FD8"/>
    <w:rsid w:val="0065573A"/>
    <w:rsid w:val="00656269"/>
    <w:rsid w:val="00656608"/>
    <w:rsid w:val="006569CA"/>
    <w:rsid w:val="0065740C"/>
    <w:rsid w:val="00661E53"/>
    <w:rsid w:val="00663D7E"/>
    <w:rsid w:val="00663E4E"/>
    <w:rsid w:val="0066582D"/>
    <w:rsid w:val="00666B8C"/>
    <w:rsid w:val="0067147C"/>
    <w:rsid w:val="006717C5"/>
    <w:rsid w:val="006741C2"/>
    <w:rsid w:val="00674C75"/>
    <w:rsid w:val="00675095"/>
    <w:rsid w:val="006763ED"/>
    <w:rsid w:val="0067762F"/>
    <w:rsid w:val="00684D09"/>
    <w:rsid w:val="00685FF1"/>
    <w:rsid w:val="0068610F"/>
    <w:rsid w:val="00690DBE"/>
    <w:rsid w:val="00691169"/>
    <w:rsid w:val="00692D97"/>
    <w:rsid w:val="00694B1D"/>
    <w:rsid w:val="006957F5"/>
    <w:rsid w:val="006976AA"/>
    <w:rsid w:val="006A0097"/>
    <w:rsid w:val="006A3711"/>
    <w:rsid w:val="006A49A0"/>
    <w:rsid w:val="006A4AE3"/>
    <w:rsid w:val="006A56A1"/>
    <w:rsid w:val="006A703F"/>
    <w:rsid w:val="006A7512"/>
    <w:rsid w:val="006B172C"/>
    <w:rsid w:val="006B1F2B"/>
    <w:rsid w:val="006B208F"/>
    <w:rsid w:val="006B20F9"/>
    <w:rsid w:val="006B369A"/>
    <w:rsid w:val="006B3DF2"/>
    <w:rsid w:val="006B4515"/>
    <w:rsid w:val="006B4F98"/>
    <w:rsid w:val="006C1E6A"/>
    <w:rsid w:val="006C4BB5"/>
    <w:rsid w:val="006C4D2B"/>
    <w:rsid w:val="006C622B"/>
    <w:rsid w:val="006C627B"/>
    <w:rsid w:val="006C6F4A"/>
    <w:rsid w:val="006C7381"/>
    <w:rsid w:val="006C7DF8"/>
    <w:rsid w:val="006D2178"/>
    <w:rsid w:val="006D29F8"/>
    <w:rsid w:val="006D36F7"/>
    <w:rsid w:val="006D4620"/>
    <w:rsid w:val="006D5285"/>
    <w:rsid w:val="006D52AE"/>
    <w:rsid w:val="006D7F14"/>
    <w:rsid w:val="006E3365"/>
    <w:rsid w:val="006E3F39"/>
    <w:rsid w:val="006E554C"/>
    <w:rsid w:val="006E5757"/>
    <w:rsid w:val="006F1523"/>
    <w:rsid w:val="006F2ECD"/>
    <w:rsid w:val="006F3C13"/>
    <w:rsid w:val="006F4C90"/>
    <w:rsid w:val="006F50F8"/>
    <w:rsid w:val="006F546C"/>
    <w:rsid w:val="006F7C1A"/>
    <w:rsid w:val="006F7CB4"/>
    <w:rsid w:val="006F7F7D"/>
    <w:rsid w:val="00700773"/>
    <w:rsid w:val="007026DB"/>
    <w:rsid w:val="00704432"/>
    <w:rsid w:val="007101E2"/>
    <w:rsid w:val="00711AF2"/>
    <w:rsid w:val="007133FA"/>
    <w:rsid w:val="00714D7D"/>
    <w:rsid w:val="007154FA"/>
    <w:rsid w:val="007175F8"/>
    <w:rsid w:val="00720E60"/>
    <w:rsid w:val="00723C52"/>
    <w:rsid w:val="0072632C"/>
    <w:rsid w:val="00726AAC"/>
    <w:rsid w:val="00727ED9"/>
    <w:rsid w:val="007300FE"/>
    <w:rsid w:val="00730D61"/>
    <w:rsid w:val="00735796"/>
    <w:rsid w:val="00735924"/>
    <w:rsid w:val="00735EA0"/>
    <w:rsid w:val="007375DC"/>
    <w:rsid w:val="0074244C"/>
    <w:rsid w:val="00742608"/>
    <w:rsid w:val="007441F5"/>
    <w:rsid w:val="00746AB8"/>
    <w:rsid w:val="00746C67"/>
    <w:rsid w:val="00747C5D"/>
    <w:rsid w:val="007505C3"/>
    <w:rsid w:val="00751575"/>
    <w:rsid w:val="00755C5D"/>
    <w:rsid w:val="007571F9"/>
    <w:rsid w:val="007626A7"/>
    <w:rsid w:val="00765BB7"/>
    <w:rsid w:val="00767998"/>
    <w:rsid w:val="007703A1"/>
    <w:rsid w:val="0077168A"/>
    <w:rsid w:val="00772970"/>
    <w:rsid w:val="00776283"/>
    <w:rsid w:val="00776BCE"/>
    <w:rsid w:val="00777698"/>
    <w:rsid w:val="007806DB"/>
    <w:rsid w:val="00782CCD"/>
    <w:rsid w:val="00783E48"/>
    <w:rsid w:val="00786914"/>
    <w:rsid w:val="007873AE"/>
    <w:rsid w:val="0078796A"/>
    <w:rsid w:val="007912B2"/>
    <w:rsid w:val="00791606"/>
    <w:rsid w:val="00791A7F"/>
    <w:rsid w:val="0079317B"/>
    <w:rsid w:val="00793A72"/>
    <w:rsid w:val="00793C40"/>
    <w:rsid w:val="00794C1E"/>
    <w:rsid w:val="007959C5"/>
    <w:rsid w:val="0079685A"/>
    <w:rsid w:val="007A0117"/>
    <w:rsid w:val="007A1C40"/>
    <w:rsid w:val="007A1D3B"/>
    <w:rsid w:val="007A3625"/>
    <w:rsid w:val="007A4C7B"/>
    <w:rsid w:val="007A644D"/>
    <w:rsid w:val="007A71AE"/>
    <w:rsid w:val="007A779C"/>
    <w:rsid w:val="007B10DE"/>
    <w:rsid w:val="007B2195"/>
    <w:rsid w:val="007B3BC5"/>
    <w:rsid w:val="007B496C"/>
    <w:rsid w:val="007B75B6"/>
    <w:rsid w:val="007C0443"/>
    <w:rsid w:val="007C0797"/>
    <w:rsid w:val="007C5B09"/>
    <w:rsid w:val="007C60AC"/>
    <w:rsid w:val="007C6125"/>
    <w:rsid w:val="007C6DC5"/>
    <w:rsid w:val="007D06FE"/>
    <w:rsid w:val="007D221A"/>
    <w:rsid w:val="007D3759"/>
    <w:rsid w:val="007D55AC"/>
    <w:rsid w:val="007E2289"/>
    <w:rsid w:val="007E3B9C"/>
    <w:rsid w:val="007E40D9"/>
    <w:rsid w:val="007E4B0C"/>
    <w:rsid w:val="007E58C6"/>
    <w:rsid w:val="007F0B94"/>
    <w:rsid w:val="007F197B"/>
    <w:rsid w:val="007F1D88"/>
    <w:rsid w:val="007F2EF2"/>
    <w:rsid w:val="007F3E66"/>
    <w:rsid w:val="007F4F22"/>
    <w:rsid w:val="007F51BB"/>
    <w:rsid w:val="00801D33"/>
    <w:rsid w:val="00803576"/>
    <w:rsid w:val="00803EC0"/>
    <w:rsid w:val="0080532F"/>
    <w:rsid w:val="00807752"/>
    <w:rsid w:val="00807A78"/>
    <w:rsid w:val="00807C7E"/>
    <w:rsid w:val="00807F4A"/>
    <w:rsid w:val="00811892"/>
    <w:rsid w:val="00811BDB"/>
    <w:rsid w:val="00811F01"/>
    <w:rsid w:val="008138D6"/>
    <w:rsid w:val="00814CF9"/>
    <w:rsid w:val="008154F4"/>
    <w:rsid w:val="00815F0C"/>
    <w:rsid w:val="00816309"/>
    <w:rsid w:val="008201D6"/>
    <w:rsid w:val="00820540"/>
    <w:rsid w:val="00821702"/>
    <w:rsid w:val="00827162"/>
    <w:rsid w:val="00832832"/>
    <w:rsid w:val="00832CDD"/>
    <w:rsid w:val="00833744"/>
    <w:rsid w:val="00833D66"/>
    <w:rsid w:val="00834098"/>
    <w:rsid w:val="00834D5D"/>
    <w:rsid w:val="00837711"/>
    <w:rsid w:val="00840486"/>
    <w:rsid w:val="00847B81"/>
    <w:rsid w:val="00851E0A"/>
    <w:rsid w:val="00852C83"/>
    <w:rsid w:val="00853045"/>
    <w:rsid w:val="00854055"/>
    <w:rsid w:val="00855238"/>
    <w:rsid w:val="00856716"/>
    <w:rsid w:val="00856760"/>
    <w:rsid w:val="00856BC4"/>
    <w:rsid w:val="00857154"/>
    <w:rsid w:val="0086168E"/>
    <w:rsid w:val="00864478"/>
    <w:rsid w:val="008652A3"/>
    <w:rsid w:val="0087084B"/>
    <w:rsid w:val="00871BD0"/>
    <w:rsid w:val="00871D48"/>
    <w:rsid w:val="00876776"/>
    <w:rsid w:val="00876D98"/>
    <w:rsid w:val="0088001E"/>
    <w:rsid w:val="00880D32"/>
    <w:rsid w:val="00881DF2"/>
    <w:rsid w:val="008839E3"/>
    <w:rsid w:val="00883FAC"/>
    <w:rsid w:val="00885CD0"/>
    <w:rsid w:val="00885FE1"/>
    <w:rsid w:val="00886CFC"/>
    <w:rsid w:val="00891033"/>
    <w:rsid w:val="008910DA"/>
    <w:rsid w:val="00893C9A"/>
    <w:rsid w:val="00894CE3"/>
    <w:rsid w:val="0089545B"/>
    <w:rsid w:val="00896134"/>
    <w:rsid w:val="00896166"/>
    <w:rsid w:val="008A05EF"/>
    <w:rsid w:val="008A1D09"/>
    <w:rsid w:val="008A216B"/>
    <w:rsid w:val="008A3648"/>
    <w:rsid w:val="008A43DA"/>
    <w:rsid w:val="008A4608"/>
    <w:rsid w:val="008A5C88"/>
    <w:rsid w:val="008A6445"/>
    <w:rsid w:val="008A7ACE"/>
    <w:rsid w:val="008B1B5B"/>
    <w:rsid w:val="008B27DA"/>
    <w:rsid w:val="008B2F2A"/>
    <w:rsid w:val="008B4FD5"/>
    <w:rsid w:val="008C0B46"/>
    <w:rsid w:val="008C16EF"/>
    <w:rsid w:val="008C1D83"/>
    <w:rsid w:val="008C327A"/>
    <w:rsid w:val="008C44C3"/>
    <w:rsid w:val="008C6F67"/>
    <w:rsid w:val="008D0241"/>
    <w:rsid w:val="008D290C"/>
    <w:rsid w:val="008D5A34"/>
    <w:rsid w:val="008D685E"/>
    <w:rsid w:val="008D6B88"/>
    <w:rsid w:val="008E09E9"/>
    <w:rsid w:val="008E36AF"/>
    <w:rsid w:val="008E45B5"/>
    <w:rsid w:val="008E4FCB"/>
    <w:rsid w:val="008E58FC"/>
    <w:rsid w:val="008E5CB9"/>
    <w:rsid w:val="008E7D89"/>
    <w:rsid w:val="008F0455"/>
    <w:rsid w:val="008F2254"/>
    <w:rsid w:val="008F31F7"/>
    <w:rsid w:val="008F32EE"/>
    <w:rsid w:val="008F5EBC"/>
    <w:rsid w:val="008F7362"/>
    <w:rsid w:val="0090318B"/>
    <w:rsid w:val="009041F0"/>
    <w:rsid w:val="0090423F"/>
    <w:rsid w:val="009045B3"/>
    <w:rsid w:val="009045DE"/>
    <w:rsid w:val="0090483F"/>
    <w:rsid w:val="00905BC9"/>
    <w:rsid w:val="00910ADF"/>
    <w:rsid w:val="00912D8D"/>
    <w:rsid w:val="00913374"/>
    <w:rsid w:val="00915265"/>
    <w:rsid w:val="00922B7E"/>
    <w:rsid w:val="0092575F"/>
    <w:rsid w:val="0092585C"/>
    <w:rsid w:val="00927578"/>
    <w:rsid w:val="00927CE5"/>
    <w:rsid w:val="00927E07"/>
    <w:rsid w:val="00930D37"/>
    <w:rsid w:val="0093581B"/>
    <w:rsid w:val="00937FF5"/>
    <w:rsid w:val="00941C27"/>
    <w:rsid w:val="009425EB"/>
    <w:rsid w:val="00950EA3"/>
    <w:rsid w:val="009510FB"/>
    <w:rsid w:val="00951174"/>
    <w:rsid w:val="009534E7"/>
    <w:rsid w:val="00955E98"/>
    <w:rsid w:val="0095663A"/>
    <w:rsid w:val="00956E72"/>
    <w:rsid w:val="009576A7"/>
    <w:rsid w:val="0096133A"/>
    <w:rsid w:val="009625DC"/>
    <w:rsid w:val="00964C3C"/>
    <w:rsid w:val="009665AC"/>
    <w:rsid w:val="0096684F"/>
    <w:rsid w:val="0096712C"/>
    <w:rsid w:val="0096774F"/>
    <w:rsid w:val="009705FD"/>
    <w:rsid w:val="009713BB"/>
    <w:rsid w:val="00972C18"/>
    <w:rsid w:val="00973FE5"/>
    <w:rsid w:val="009747D1"/>
    <w:rsid w:val="00975FDE"/>
    <w:rsid w:val="00981BE1"/>
    <w:rsid w:val="00982498"/>
    <w:rsid w:val="00982544"/>
    <w:rsid w:val="009848FC"/>
    <w:rsid w:val="00985566"/>
    <w:rsid w:val="0098573F"/>
    <w:rsid w:val="00987710"/>
    <w:rsid w:val="00992314"/>
    <w:rsid w:val="00993861"/>
    <w:rsid w:val="00993876"/>
    <w:rsid w:val="00993A13"/>
    <w:rsid w:val="00994C95"/>
    <w:rsid w:val="00995975"/>
    <w:rsid w:val="00995D52"/>
    <w:rsid w:val="009A190A"/>
    <w:rsid w:val="009A23D5"/>
    <w:rsid w:val="009A348C"/>
    <w:rsid w:val="009A7441"/>
    <w:rsid w:val="009B0149"/>
    <w:rsid w:val="009B0194"/>
    <w:rsid w:val="009B0A75"/>
    <w:rsid w:val="009B2A5A"/>
    <w:rsid w:val="009B42DA"/>
    <w:rsid w:val="009B48A8"/>
    <w:rsid w:val="009B4CA7"/>
    <w:rsid w:val="009B544D"/>
    <w:rsid w:val="009B6538"/>
    <w:rsid w:val="009C069E"/>
    <w:rsid w:val="009C0B5E"/>
    <w:rsid w:val="009C2558"/>
    <w:rsid w:val="009C46BD"/>
    <w:rsid w:val="009D1167"/>
    <w:rsid w:val="009D315E"/>
    <w:rsid w:val="009D3F8A"/>
    <w:rsid w:val="009D4747"/>
    <w:rsid w:val="009E1982"/>
    <w:rsid w:val="009E2054"/>
    <w:rsid w:val="009E43E0"/>
    <w:rsid w:val="009E4B72"/>
    <w:rsid w:val="009E518E"/>
    <w:rsid w:val="009E6627"/>
    <w:rsid w:val="009E6DBF"/>
    <w:rsid w:val="009E793A"/>
    <w:rsid w:val="009F0FE5"/>
    <w:rsid w:val="009F1A69"/>
    <w:rsid w:val="009F673E"/>
    <w:rsid w:val="009F6D40"/>
    <w:rsid w:val="009F717C"/>
    <w:rsid w:val="009F7359"/>
    <w:rsid w:val="00A02A93"/>
    <w:rsid w:val="00A02B67"/>
    <w:rsid w:val="00A05DA0"/>
    <w:rsid w:val="00A1118A"/>
    <w:rsid w:val="00A113AD"/>
    <w:rsid w:val="00A11DD1"/>
    <w:rsid w:val="00A163AB"/>
    <w:rsid w:val="00A16B97"/>
    <w:rsid w:val="00A16E41"/>
    <w:rsid w:val="00A16FFB"/>
    <w:rsid w:val="00A1789B"/>
    <w:rsid w:val="00A22A52"/>
    <w:rsid w:val="00A2301F"/>
    <w:rsid w:val="00A24306"/>
    <w:rsid w:val="00A246C4"/>
    <w:rsid w:val="00A24970"/>
    <w:rsid w:val="00A2775F"/>
    <w:rsid w:val="00A307BA"/>
    <w:rsid w:val="00A31E1A"/>
    <w:rsid w:val="00A32C5C"/>
    <w:rsid w:val="00A33C06"/>
    <w:rsid w:val="00A35131"/>
    <w:rsid w:val="00A360FE"/>
    <w:rsid w:val="00A42163"/>
    <w:rsid w:val="00A426EB"/>
    <w:rsid w:val="00A456D3"/>
    <w:rsid w:val="00A4640B"/>
    <w:rsid w:val="00A46977"/>
    <w:rsid w:val="00A53F2F"/>
    <w:rsid w:val="00A54240"/>
    <w:rsid w:val="00A54ADA"/>
    <w:rsid w:val="00A54EE4"/>
    <w:rsid w:val="00A56481"/>
    <w:rsid w:val="00A564E4"/>
    <w:rsid w:val="00A56D95"/>
    <w:rsid w:val="00A57936"/>
    <w:rsid w:val="00A57FED"/>
    <w:rsid w:val="00A61CA5"/>
    <w:rsid w:val="00A6677B"/>
    <w:rsid w:val="00A679F1"/>
    <w:rsid w:val="00A71BC2"/>
    <w:rsid w:val="00A7291F"/>
    <w:rsid w:val="00A72DFC"/>
    <w:rsid w:val="00A73B3E"/>
    <w:rsid w:val="00A759EE"/>
    <w:rsid w:val="00A76872"/>
    <w:rsid w:val="00A76E87"/>
    <w:rsid w:val="00A76F2E"/>
    <w:rsid w:val="00A77F4B"/>
    <w:rsid w:val="00A800B9"/>
    <w:rsid w:val="00A81017"/>
    <w:rsid w:val="00A826CF"/>
    <w:rsid w:val="00A839E0"/>
    <w:rsid w:val="00A86897"/>
    <w:rsid w:val="00A90D6A"/>
    <w:rsid w:val="00A910E9"/>
    <w:rsid w:val="00A91FFA"/>
    <w:rsid w:val="00A9253C"/>
    <w:rsid w:val="00A942C4"/>
    <w:rsid w:val="00A9442D"/>
    <w:rsid w:val="00A94938"/>
    <w:rsid w:val="00A950AD"/>
    <w:rsid w:val="00A954FC"/>
    <w:rsid w:val="00AA0400"/>
    <w:rsid w:val="00AA2A27"/>
    <w:rsid w:val="00AA3092"/>
    <w:rsid w:val="00AA751C"/>
    <w:rsid w:val="00AB00DA"/>
    <w:rsid w:val="00AB011B"/>
    <w:rsid w:val="00AB2D15"/>
    <w:rsid w:val="00AB3EDF"/>
    <w:rsid w:val="00AB4C4F"/>
    <w:rsid w:val="00AB5234"/>
    <w:rsid w:val="00AB532A"/>
    <w:rsid w:val="00AB7900"/>
    <w:rsid w:val="00AB7DC9"/>
    <w:rsid w:val="00AC221C"/>
    <w:rsid w:val="00AC5522"/>
    <w:rsid w:val="00AD0043"/>
    <w:rsid w:val="00AD0564"/>
    <w:rsid w:val="00AD39F1"/>
    <w:rsid w:val="00AD3E80"/>
    <w:rsid w:val="00AD404D"/>
    <w:rsid w:val="00AD58E2"/>
    <w:rsid w:val="00AD792D"/>
    <w:rsid w:val="00AE0320"/>
    <w:rsid w:val="00AE1ADA"/>
    <w:rsid w:val="00AE2D52"/>
    <w:rsid w:val="00AE3DE7"/>
    <w:rsid w:val="00AE4C5C"/>
    <w:rsid w:val="00AE5AC0"/>
    <w:rsid w:val="00AE73D8"/>
    <w:rsid w:val="00AF0F7F"/>
    <w:rsid w:val="00AF1395"/>
    <w:rsid w:val="00AF3013"/>
    <w:rsid w:val="00AF38DA"/>
    <w:rsid w:val="00AF468D"/>
    <w:rsid w:val="00AF5235"/>
    <w:rsid w:val="00AF5A99"/>
    <w:rsid w:val="00AF7196"/>
    <w:rsid w:val="00B00E5E"/>
    <w:rsid w:val="00B027FA"/>
    <w:rsid w:val="00B03F60"/>
    <w:rsid w:val="00B04475"/>
    <w:rsid w:val="00B04B3C"/>
    <w:rsid w:val="00B04C5D"/>
    <w:rsid w:val="00B05D75"/>
    <w:rsid w:val="00B05F02"/>
    <w:rsid w:val="00B1007D"/>
    <w:rsid w:val="00B101D4"/>
    <w:rsid w:val="00B104D5"/>
    <w:rsid w:val="00B1176D"/>
    <w:rsid w:val="00B12633"/>
    <w:rsid w:val="00B139F2"/>
    <w:rsid w:val="00B16542"/>
    <w:rsid w:val="00B172A3"/>
    <w:rsid w:val="00B2012A"/>
    <w:rsid w:val="00B218C6"/>
    <w:rsid w:val="00B219E2"/>
    <w:rsid w:val="00B21F91"/>
    <w:rsid w:val="00B227E9"/>
    <w:rsid w:val="00B22E5C"/>
    <w:rsid w:val="00B270FF"/>
    <w:rsid w:val="00B323D7"/>
    <w:rsid w:val="00B33EDD"/>
    <w:rsid w:val="00B36976"/>
    <w:rsid w:val="00B36B52"/>
    <w:rsid w:val="00B40FDA"/>
    <w:rsid w:val="00B4145D"/>
    <w:rsid w:val="00B42584"/>
    <w:rsid w:val="00B42C70"/>
    <w:rsid w:val="00B431FE"/>
    <w:rsid w:val="00B478E5"/>
    <w:rsid w:val="00B505F8"/>
    <w:rsid w:val="00B51602"/>
    <w:rsid w:val="00B529D3"/>
    <w:rsid w:val="00B54308"/>
    <w:rsid w:val="00B54AB4"/>
    <w:rsid w:val="00B5639E"/>
    <w:rsid w:val="00B5680D"/>
    <w:rsid w:val="00B568DD"/>
    <w:rsid w:val="00B57B72"/>
    <w:rsid w:val="00B65151"/>
    <w:rsid w:val="00B65447"/>
    <w:rsid w:val="00B6585F"/>
    <w:rsid w:val="00B66340"/>
    <w:rsid w:val="00B705A0"/>
    <w:rsid w:val="00B70715"/>
    <w:rsid w:val="00B70985"/>
    <w:rsid w:val="00B71024"/>
    <w:rsid w:val="00B75159"/>
    <w:rsid w:val="00B7539C"/>
    <w:rsid w:val="00B77640"/>
    <w:rsid w:val="00B81B4B"/>
    <w:rsid w:val="00B824AB"/>
    <w:rsid w:val="00B8405B"/>
    <w:rsid w:val="00B85350"/>
    <w:rsid w:val="00B86E70"/>
    <w:rsid w:val="00B90022"/>
    <w:rsid w:val="00B9284D"/>
    <w:rsid w:val="00B93E51"/>
    <w:rsid w:val="00B940A3"/>
    <w:rsid w:val="00B941AC"/>
    <w:rsid w:val="00B948D7"/>
    <w:rsid w:val="00B9508F"/>
    <w:rsid w:val="00B95B1D"/>
    <w:rsid w:val="00B96DE3"/>
    <w:rsid w:val="00B96E4D"/>
    <w:rsid w:val="00BA087C"/>
    <w:rsid w:val="00BA1A06"/>
    <w:rsid w:val="00BA33E1"/>
    <w:rsid w:val="00BA3593"/>
    <w:rsid w:val="00BA60ED"/>
    <w:rsid w:val="00BA69F4"/>
    <w:rsid w:val="00BA69FF"/>
    <w:rsid w:val="00BA6D36"/>
    <w:rsid w:val="00BA7744"/>
    <w:rsid w:val="00BB12DE"/>
    <w:rsid w:val="00BB214F"/>
    <w:rsid w:val="00BB2391"/>
    <w:rsid w:val="00BB2ED2"/>
    <w:rsid w:val="00BB58EB"/>
    <w:rsid w:val="00BB6122"/>
    <w:rsid w:val="00BC0DEC"/>
    <w:rsid w:val="00BC11D0"/>
    <w:rsid w:val="00BC1710"/>
    <w:rsid w:val="00BC2C75"/>
    <w:rsid w:val="00BC74C1"/>
    <w:rsid w:val="00BD082C"/>
    <w:rsid w:val="00BD2330"/>
    <w:rsid w:val="00BD2DC0"/>
    <w:rsid w:val="00BD5BE8"/>
    <w:rsid w:val="00BE1893"/>
    <w:rsid w:val="00BE1A3A"/>
    <w:rsid w:val="00BE51DB"/>
    <w:rsid w:val="00BE6146"/>
    <w:rsid w:val="00BE667F"/>
    <w:rsid w:val="00BE73D1"/>
    <w:rsid w:val="00BE79A4"/>
    <w:rsid w:val="00BF308A"/>
    <w:rsid w:val="00BF55D3"/>
    <w:rsid w:val="00BF59A0"/>
    <w:rsid w:val="00BF62FE"/>
    <w:rsid w:val="00BF6B55"/>
    <w:rsid w:val="00C02575"/>
    <w:rsid w:val="00C03B42"/>
    <w:rsid w:val="00C048CB"/>
    <w:rsid w:val="00C06F66"/>
    <w:rsid w:val="00C071F2"/>
    <w:rsid w:val="00C07323"/>
    <w:rsid w:val="00C1286E"/>
    <w:rsid w:val="00C12CFA"/>
    <w:rsid w:val="00C12DE7"/>
    <w:rsid w:val="00C1397B"/>
    <w:rsid w:val="00C13D78"/>
    <w:rsid w:val="00C161AB"/>
    <w:rsid w:val="00C161EF"/>
    <w:rsid w:val="00C169C5"/>
    <w:rsid w:val="00C1754A"/>
    <w:rsid w:val="00C17B82"/>
    <w:rsid w:val="00C20156"/>
    <w:rsid w:val="00C22006"/>
    <w:rsid w:val="00C22029"/>
    <w:rsid w:val="00C23AAA"/>
    <w:rsid w:val="00C24A84"/>
    <w:rsid w:val="00C3093D"/>
    <w:rsid w:val="00C32163"/>
    <w:rsid w:val="00C351F9"/>
    <w:rsid w:val="00C36A01"/>
    <w:rsid w:val="00C36F27"/>
    <w:rsid w:val="00C40270"/>
    <w:rsid w:val="00C40C85"/>
    <w:rsid w:val="00C4131F"/>
    <w:rsid w:val="00C41B48"/>
    <w:rsid w:val="00C43025"/>
    <w:rsid w:val="00C43350"/>
    <w:rsid w:val="00C451F9"/>
    <w:rsid w:val="00C46043"/>
    <w:rsid w:val="00C46705"/>
    <w:rsid w:val="00C46814"/>
    <w:rsid w:val="00C47A46"/>
    <w:rsid w:val="00C506F7"/>
    <w:rsid w:val="00C51667"/>
    <w:rsid w:val="00C522A5"/>
    <w:rsid w:val="00C532C8"/>
    <w:rsid w:val="00C53CCE"/>
    <w:rsid w:val="00C60BD3"/>
    <w:rsid w:val="00C60F5F"/>
    <w:rsid w:val="00C62C41"/>
    <w:rsid w:val="00C631B9"/>
    <w:rsid w:val="00C6540C"/>
    <w:rsid w:val="00C66D81"/>
    <w:rsid w:val="00C75693"/>
    <w:rsid w:val="00C759AD"/>
    <w:rsid w:val="00C76DE4"/>
    <w:rsid w:val="00C76F0A"/>
    <w:rsid w:val="00C824C1"/>
    <w:rsid w:val="00C82CCA"/>
    <w:rsid w:val="00C82DF0"/>
    <w:rsid w:val="00C84D8E"/>
    <w:rsid w:val="00C85A9B"/>
    <w:rsid w:val="00C85C93"/>
    <w:rsid w:val="00C8688F"/>
    <w:rsid w:val="00C87FE7"/>
    <w:rsid w:val="00C906ED"/>
    <w:rsid w:val="00C9145B"/>
    <w:rsid w:val="00C9197E"/>
    <w:rsid w:val="00C93E18"/>
    <w:rsid w:val="00C944B7"/>
    <w:rsid w:val="00C95BC9"/>
    <w:rsid w:val="00C960C5"/>
    <w:rsid w:val="00C967AB"/>
    <w:rsid w:val="00C97C4E"/>
    <w:rsid w:val="00CA091F"/>
    <w:rsid w:val="00CA0A8C"/>
    <w:rsid w:val="00CA231B"/>
    <w:rsid w:val="00CA3036"/>
    <w:rsid w:val="00CA37E3"/>
    <w:rsid w:val="00CA46D8"/>
    <w:rsid w:val="00CA58CE"/>
    <w:rsid w:val="00CA707F"/>
    <w:rsid w:val="00CA7319"/>
    <w:rsid w:val="00CB066F"/>
    <w:rsid w:val="00CB3A9C"/>
    <w:rsid w:val="00CB3B3B"/>
    <w:rsid w:val="00CB5205"/>
    <w:rsid w:val="00CB5766"/>
    <w:rsid w:val="00CB60BB"/>
    <w:rsid w:val="00CC005F"/>
    <w:rsid w:val="00CC0914"/>
    <w:rsid w:val="00CC0B8C"/>
    <w:rsid w:val="00CC1112"/>
    <w:rsid w:val="00CC291D"/>
    <w:rsid w:val="00CC36FC"/>
    <w:rsid w:val="00CC3DE3"/>
    <w:rsid w:val="00CC49B7"/>
    <w:rsid w:val="00CC6046"/>
    <w:rsid w:val="00CC70B3"/>
    <w:rsid w:val="00CD0004"/>
    <w:rsid w:val="00CD00E1"/>
    <w:rsid w:val="00CD0243"/>
    <w:rsid w:val="00CD2D6D"/>
    <w:rsid w:val="00CD31E8"/>
    <w:rsid w:val="00CD397C"/>
    <w:rsid w:val="00CD4739"/>
    <w:rsid w:val="00CD5737"/>
    <w:rsid w:val="00CE1665"/>
    <w:rsid w:val="00CE346C"/>
    <w:rsid w:val="00CE3BB2"/>
    <w:rsid w:val="00CE57B6"/>
    <w:rsid w:val="00CE7291"/>
    <w:rsid w:val="00CE75D8"/>
    <w:rsid w:val="00CF11CB"/>
    <w:rsid w:val="00CF292A"/>
    <w:rsid w:val="00CF654D"/>
    <w:rsid w:val="00CF6B79"/>
    <w:rsid w:val="00D00A59"/>
    <w:rsid w:val="00D02881"/>
    <w:rsid w:val="00D03B78"/>
    <w:rsid w:val="00D0548F"/>
    <w:rsid w:val="00D103E7"/>
    <w:rsid w:val="00D11B7E"/>
    <w:rsid w:val="00D12F6A"/>
    <w:rsid w:val="00D135C7"/>
    <w:rsid w:val="00D142BE"/>
    <w:rsid w:val="00D149EC"/>
    <w:rsid w:val="00D152FF"/>
    <w:rsid w:val="00D15D31"/>
    <w:rsid w:val="00D165F9"/>
    <w:rsid w:val="00D17273"/>
    <w:rsid w:val="00D2071B"/>
    <w:rsid w:val="00D2084B"/>
    <w:rsid w:val="00D21E19"/>
    <w:rsid w:val="00D25CEA"/>
    <w:rsid w:val="00D261A7"/>
    <w:rsid w:val="00D2721F"/>
    <w:rsid w:val="00D3020E"/>
    <w:rsid w:val="00D30CE5"/>
    <w:rsid w:val="00D31AA7"/>
    <w:rsid w:val="00D324D2"/>
    <w:rsid w:val="00D33021"/>
    <w:rsid w:val="00D333DD"/>
    <w:rsid w:val="00D33F5C"/>
    <w:rsid w:val="00D346E4"/>
    <w:rsid w:val="00D4055B"/>
    <w:rsid w:val="00D42AA5"/>
    <w:rsid w:val="00D43901"/>
    <w:rsid w:val="00D43978"/>
    <w:rsid w:val="00D443A9"/>
    <w:rsid w:val="00D453BD"/>
    <w:rsid w:val="00D45F29"/>
    <w:rsid w:val="00D519A6"/>
    <w:rsid w:val="00D51E22"/>
    <w:rsid w:val="00D549F4"/>
    <w:rsid w:val="00D55A0D"/>
    <w:rsid w:val="00D55B48"/>
    <w:rsid w:val="00D56054"/>
    <w:rsid w:val="00D5671F"/>
    <w:rsid w:val="00D57435"/>
    <w:rsid w:val="00D57D17"/>
    <w:rsid w:val="00D60020"/>
    <w:rsid w:val="00D60842"/>
    <w:rsid w:val="00D61ABB"/>
    <w:rsid w:val="00D6208E"/>
    <w:rsid w:val="00D6314E"/>
    <w:rsid w:val="00D65689"/>
    <w:rsid w:val="00D67EEE"/>
    <w:rsid w:val="00D700E9"/>
    <w:rsid w:val="00D724A0"/>
    <w:rsid w:val="00D742BD"/>
    <w:rsid w:val="00D77A19"/>
    <w:rsid w:val="00D80087"/>
    <w:rsid w:val="00D8013F"/>
    <w:rsid w:val="00D808B2"/>
    <w:rsid w:val="00D819A9"/>
    <w:rsid w:val="00D81C7D"/>
    <w:rsid w:val="00D82641"/>
    <w:rsid w:val="00D82FCA"/>
    <w:rsid w:val="00D836B3"/>
    <w:rsid w:val="00D842C8"/>
    <w:rsid w:val="00D84588"/>
    <w:rsid w:val="00D86B4C"/>
    <w:rsid w:val="00D90F71"/>
    <w:rsid w:val="00D9181C"/>
    <w:rsid w:val="00D91F83"/>
    <w:rsid w:val="00D926E7"/>
    <w:rsid w:val="00D9273B"/>
    <w:rsid w:val="00D95239"/>
    <w:rsid w:val="00D96700"/>
    <w:rsid w:val="00D97D06"/>
    <w:rsid w:val="00DA0C07"/>
    <w:rsid w:val="00DA1E26"/>
    <w:rsid w:val="00DA2609"/>
    <w:rsid w:val="00DA27DA"/>
    <w:rsid w:val="00DA595A"/>
    <w:rsid w:val="00DA5A05"/>
    <w:rsid w:val="00DA79C7"/>
    <w:rsid w:val="00DB6A15"/>
    <w:rsid w:val="00DB74E5"/>
    <w:rsid w:val="00DB7ABC"/>
    <w:rsid w:val="00DC0035"/>
    <w:rsid w:val="00DC0A28"/>
    <w:rsid w:val="00DC1332"/>
    <w:rsid w:val="00DC1FCC"/>
    <w:rsid w:val="00DC3FA5"/>
    <w:rsid w:val="00DC522E"/>
    <w:rsid w:val="00DC7B68"/>
    <w:rsid w:val="00DD03D2"/>
    <w:rsid w:val="00DD1100"/>
    <w:rsid w:val="00DD1515"/>
    <w:rsid w:val="00DD1C68"/>
    <w:rsid w:val="00DD2453"/>
    <w:rsid w:val="00DD2EE7"/>
    <w:rsid w:val="00DD30EB"/>
    <w:rsid w:val="00DD3990"/>
    <w:rsid w:val="00DD3FFC"/>
    <w:rsid w:val="00DD4088"/>
    <w:rsid w:val="00DD7402"/>
    <w:rsid w:val="00DD7893"/>
    <w:rsid w:val="00DE01D2"/>
    <w:rsid w:val="00DE515B"/>
    <w:rsid w:val="00DE5669"/>
    <w:rsid w:val="00DE7CB3"/>
    <w:rsid w:val="00DF0A71"/>
    <w:rsid w:val="00DF17A7"/>
    <w:rsid w:val="00DF23CB"/>
    <w:rsid w:val="00DF3A17"/>
    <w:rsid w:val="00DF421A"/>
    <w:rsid w:val="00DF4BCD"/>
    <w:rsid w:val="00E005D7"/>
    <w:rsid w:val="00E01A48"/>
    <w:rsid w:val="00E01BC3"/>
    <w:rsid w:val="00E03E27"/>
    <w:rsid w:val="00E043C1"/>
    <w:rsid w:val="00E047D9"/>
    <w:rsid w:val="00E066C2"/>
    <w:rsid w:val="00E06AEB"/>
    <w:rsid w:val="00E06E67"/>
    <w:rsid w:val="00E07D46"/>
    <w:rsid w:val="00E12FD1"/>
    <w:rsid w:val="00E1314E"/>
    <w:rsid w:val="00E1485C"/>
    <w:rsid w:val="00E164C8"/>
    <w:rsid w:val="00E1681F"/>
    <w:rsid w:val="00E16BA2"/>
    <w:rsid w:val="00E16FAD"/>
    <w:rsid w:val="00E177D8"/>
    <w:rsid w:val="00E236D8"/>
    <w:rsid w:val="00E236FB"/>
    <w:rsid w:val="00E24C75"/>
    <w:rsid w:val="00E31AAB"/>
    <w:rsid w:val="00E33687"/>
    <w:rsid w:val="00E33883"/>
    <w:rsid w:val="00E37803"/>
    <w:rsid w:val="00E40F20"/>
    <w:rsid w:val="00E4258F"/>
    <w:rsid w:val="00E46BC4"/>
    <w:rsid w:val="00E50A42"/>
    <w:rsid w:val="00E5105F"/>
    <w:rsid w:val="00E52FAA"/>
    <w:rsid w:val="00E54275"/>
    <w:rsid w:val="00E55690"/>
    <w:rsid w:val="00E55E7B"/>
    <w:rsid w:val="00E55F73"/>
    <w:rsid w:val="00E5767E"/>
    <w:rsid w:val="00E61A02"/>
    <w:rsid w:val="00E62240"/>
    <w:rsid w:val="00E6399D"/>
    <w:rsid w:val="00E64156"/>
    <w:rsid w:val="00E652B5"/>
    <w:rsid w:val="00E7027D"/>
    <w:rsid w:val="00E746E7"/>
    <w:rsid w:val="00E76CB2"/>
    <w:rsid w:val="00E77236"/>
    <w:rsid w:val="00E77ADE"/>
    <w:rsid w:val="00E82824"/>
    <w:rsid w:val="00E829B1"/>
    <w:rsid w:val="00E8482F"/>
    <w:rsid w:val="00E866B7"/>
    <w:rsid w:val="00E86A3B"/>
    <w:rsid w:val="00E8703C"/>
    <w:rsid w:val="00E90370"/>
    <w:rsid w:val="00E90B39"/>
    <w:rsid w:val="00E914D8"/>
    <w:rsid w:val="00E91511"/>
    <w:rsid w:val="00E91D43"/>
    <w:rsid w:val="00E92689"/>
    <w:rsid w:val="00E96D1E"/>
    <w:rsid w:val="00E97D05"/>
    <w:rsid w:val="00EA024B"/>
    <w:rsid w:val="00EA2EFD"/>
    <w:rsid w:val="00EA535F"/>
    <w:rsid w:val="00EA7E7A"/>
    <w:rsid w:val="00EB17ED"/>
    <w:rsid w:val="00EB41C6"/>
    <w:rsid w:val="00EB484B"/>
    <w:rsid w:val="00EB50F0"/>
    <w:rsid w:val="00EC0DEF"/>
    <w:rsid w:val="00EC1873"/>
    <w:rsid w:val="00EC1F07"/>
    <w:rsid w:val="00EC27E1"/>
    <w:rsid w:val="00EC2838"/>
    <w:rsid w:val="00EC3420"/>
    <w:rsid w:val="00EC38C4"/>
    <w:rsid w:val="00EC418E"/>
    <w:rsid w:val="00ED3178"/>
    <w:rsid w:val="00ED34DC"/>
    <w:rsid w:val="00ED3B40"/>
    <w:rsid w:val="00ED43FB"/>
    <w:rsid w:val="00ED5F9A"/>
    <w:rsid w:val="00EE06EE"/>
    <w:rsid w:val="00EE3FC1"/>
    <w:rsid w:val="00EE4974"/>
    <w:rsid w:val="00EE4B31"/>
    <w:rsid w:val="00EE60C0"/>
    <w:rsid w:val="00EE668D"/>
    <w:rsid w:val="00EE6E46"/>
    <w:rsid w:val="00EE779D"/>
    <w:rsid w:val="00EF1B21"/>
    <w:rsid w:val="00EF2E4C"/>
    <w:rsid w:val="00EF3AF6"/>
    <w:rsid w:val="00EF4306"/>
    <w:rsid w:val="00EF588E"/>
    <w:rsid w:val="00EF6747"/>
    <w:rsid w:val="00EF6D49"/>
    <w:rsid w:val="00EF7196"/>
    <w:rsid w:val="00F005EB"/>
    <w:rsid w:val="00F014B0"/>
    <w:rsid w:val="00F01C59"/>
    <w:rsid w:val="00F024EB"/>
    <w:rsid w:val="00F028F8"/>
    <w:rsid w:val="00F03233"/>
    <w:rsid w:val="00F05EF7"/>
    <w:rsid w:val="00F06D62"/>
    <w:rsid w:val="00F13307"/>
    <w:rsid w:val="00F1474E"/>
    <w:rsid w:val="00F14BA7"/>
    <w:rsid w:val="00F16D1C"/>
    <w:rsid w:val="00F173E5"/>
    <w:rsid w:val="00F176F9"/>
    <w:rsid w:val="00F17726"/>
    <w:rsid w:val="00F17748"/>
    <w:rsid w:val="00F21F14"/>
    <w:rsid w:val="00F25630"/>
    <w:rsid w:val="00F26CF6"/>
    <w:rsid w:val="00F30871"/>
    <w:rsid w:val="00F30A59"/>
    <w:rsid w:val="00F31480"/>
    <w:rsid w:val="00F360DA"/>
    <w:rsid w:val="00F41096"/>
    <w:rsid w:val="00F45078"/>
    <w:rsid w:val="00F45C5F"/>
    <w:rsid w:val="00F473DE"/>
    <w:rsid w:val="00F47ABA"/>
    <w:rsid w:val="00F5029E"/>
    <w:rsid w:val="00F5090A"/>
    <w:rsid w:val="00F5187B"/>
    <w:rsid w:val="00F5188D"/>
    <w:rsid w:val="00F5270D"/>
    <w:rsid w:val="00F53D74"/>
    <w:rsid w:val="00F54D63"/>
    <w:rsid w:val="00F659B2"/>
    <w:rsid w:val="00F65D45"/>
    <w:rsid w:val="00F6654F"/>
    <w:rsid w:val="00F6691E"/>
    <w:rsid w:val="00F70673"/>
    <w:rsid w:val="00F7076B"/>
    <w:rsid w:val="00F73781"/>
    <w:rsid w:val="00F74FC4"/>
    <w:rsid w:val="00F75299"/>
    <w:rsid w:val="00F756F1"/>
    <w:rsid w:val="00F76E30"/>
    <w:rsid w:val="00F77B01"/>
    <w:rsid w:val="00F80D0F"/>
    <w:rsid w:val="00F82511"/>
    <w:rsid w:val="00F8316C"/>
    <w:rsid w:val="00F85DF4"/>
    <w:rsid w:val="00F868C0"/>
    <w:rsid w:val="00F911A6"/>
    <w:rsid w:val="00F938F6"/>
    <w:rsid w:val="00F956E2"/>
    <w:rsid w:val="00F96B03"/>
    <w:rsid w:val="00F96B9E"/>
    <w:rsid w:val="00F974DD"/>
    <w:rsid w:val="00FA331F"/>
    <w:rsid w:val="00FA6869"/>
    <w:rsid w:val="00FA7DEF"/>
    <w:rsid w:val="00FB0181"/>
    <w:rsid w:val="00FB1A86"/>
    <w:rsid w:val="00FB1CD7"/>
    <w:rsid w:val="00FB3173"/>
    <w:rsid w:val="00FB44CB"/>
    <w:rsid w:val="00FB4CCF"/>
    <w:rsid w:val="00FB56EF"/>
    <w:rsid w:val="00FC059A"/>
    <w:rsid w:val="00FC448C"/>
    <w:rsid w:val="00FC4AEC"/>
    <w:rsid w:val="00FC4D38"/>
    <w:rsid w:val="00FC53CE"/>
    <w:rsid w:val="00FC56D5"/>
    <w:rsid w:val="00FC5B72"/>
    <w:rsid w:val="00FC6C3B"/>
    <w:rsid w:val="00FD0AD8"/>
    <w:rsid w:val="00FD1643"/>
    <w:rsid w:val="00FD24E9"/>
    <w:rsid w:val="00FD3E10"/>
    <w:rsid w:val="00FD3F5F"/>
    <w:rsid w:val="00FD5F19"/>
    <w:rsid w:val="00FD69D3"/>
    <w:rsid w:val="00FD7C6E"/>
    <w:rsid w:val="00FE048E"/>
    <w:rsid w:val="00FE0AA8"/>
    <w:rsid w:val="00FE0DDB"/>
    <w:rsid w:val="00FE14D3"/>
    <w:rsid w:val="00FE33EB"/>
    <w:rsid w:val="00FE5376"/>
    <w:rsid w:val="00FE74B1"/>
    <w:rsid w:val="00FF164C"/>
    <w:rsid w:val="00FF1866"/>
    <w:rsid w:val="00FF18D1"/>
    <w:rsid w:val="00FF383C"/>
    <w:rsid w:val="00FF4D7A"/>
    <w:rsid w:val="00FF5837"/>
    <w:rsid w:val="00FF73C4"/>
    <w:rsid w:val="0521493B"/>
    <w:rsid w:val="0CCA29AB"/>
    <w:rsid w:val="0E8A602C"/>
    <w:rsid w:val="0FF87AD2"/>
    <w:rsid w:val="1664381E"/>
    <w:rsid w:val="21AB312A"/>
    <w:rsid w:val="2B311490"/>
    <w:rsid w:val="2BF346CB"/>
    <w:rsid w:val="2F541248"/>
    <w:rsid w:val="342B680B"/>
    <w:rsid w:val="37793FC3"/>
    <w:rsid w:val="3D136517"/>
    <w:rsid w:val="426B202F"/>
    <w:rsid w:val="45115EE5"/>
    <w:rsid w:val="483B45C6"/>
    <w:rsid w:val="506E5160"/>
    <w:rsid w:val="6A8E7F34"/>
    <w:rsid w:val="6A9323D2"/>
    <w:rsid w:val="6FBB4A09"/>
    <w:rsid w:val="79CD4FD0"/>
    <w:rsid w:val="7A520C5B"/>
    <w:rsid w:val="7C293309"/>
    <w:rsid w:val="7C3F48DB"/>
    <w:rsid w:val="7EFD7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Indent"/>
    <w:basedOn w:val="1"/>
    <w:qFormat/>
    <w:uiPriority w:val="0"/>
    <w:pPr>
      <w:wordWrap w:val="0"/>
      <w:spacing w:line="400" w:lineRule="exact"/>
      <w:ind w:left="462" w:leftChars="220" w:firstLine="437" w:firstLineChars="208"/>
    </w:pPr>
    <w:rPr>
      <w:rFonts w:ascii="仿宋_GB2312" w:eastAsia="仿宋_GB2312"/>
    </w:rPr>
  </w:style>
  <w:style w:type="paragraph" w:styleId="4">
    <w:name w:val="Plain Text"/>
    <w:basedOn w:val="1"/>
    <w:uiPriority w:val="0"/>
    <w:rPr>
      <w:rFonts w:ascii="宋体" w:hAnsi="Courier New" w:eastAsia="Times New Roman"/>
      <w:sz w:val="24"/>
      <w:szCs w:val="20"/>
    </w:rPr>
  </w:style>
  <w:style w:type="paragraph" w:styleId="5">
    <w:name w:val="Date"/>
    <w:basedOn w:val="1"/>
    <w:next w:val="1"/>
    <w:qFormat/>
    <w:uiPriority w:val="0"/>
    <w:pPr>
      <w:ind w:left="100" w:leftChars="2500"/>
    </w:pPr>
    <w:rPr>
      <w:rFonts w:ascii="仿宋_GB2312" w:eastAsia="仿宋_GB2312"/>
      <w:sz w:val="32"/>
      <w:szCs w:val="32"/>
      <w:lang w:val="zh-CN"/>
    </w:rPr>
  </w:style>
  <w:style w:type="paragraph" w:styleId="6">
    <w:name w:val="Body Text Indent 2"/>
    <w:basedOn w:val="1"/>
    <w:qFormat/>
    <w:uiPriority w:val="0"/>
    <w:pPr>
      <w:widowControl/>
      <w:spacing w:before="100" w:beforeAutospacing="1" w:after="100" w:afterAutospacing="1"/>
      <w:jc w:val="left"/>
    </w:pPr>
    <w:rPr>
      <w:rFonts w:hint="eastAsia" w:ascii="宋体" w:hAnsi="宋体"/>
      <w:kern w:val="0"/>
      <w:sz w:val="24"/>
    </w:rPr>
  </w:style>
  <w:style w:type="paragraph" w:styleId="7">
    <w:name w:val="Balloon Text"/>
    <w:basedOn w:val="1"/>
    <w:semiHidden/>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widowControl/>
      <w:spacing w:before="100" w:beforeAutospacing="1" w:after="100" w:afterAutospacing="1"/>
      <w:jc w:val="left"/>
    </w:pPr>
    <w:rPr>
      <w:rFonts w:hint="eastAsia" w:ascii="宋体" w:hAnsi="宋体"/>
      <w:kern w:val="0"/>
      <w:sz w:val="24"/>
    </w:rPr>
  </w:style>
  <w:style w:type="paragraph" w:styleId="11">
    <w:name w:val="Normal (Web)"/>
    <w:basedOn w:val="1"/>
    <w:uiPriority w:val="0"/>
    <w:pPr>
      <w:widowControl/>
      <w:spacing w:before="100" w:beforeAutospacing="1" w:after="100" w:afterAutospacing="1"/>
      <w:jc w:val="left"/>
    </w:pPr>
    <w:rPr>
      <w:rFonts w:ascii="宋体" w:hAnsi="宋体" w:cs="宋体"/>
      <w:kern w:val="0"/>
      <w:sz w:val="24"/>
    </w:rPr>
  </w:style>
  <w:style w:type="paragraph" w:styleId="12">
    <w:name w:val="annotation subject"/>
    <w:basedOn w:val="2"/>
    <w:next w:val="2"/>
    <w:semiHidden/>
    <w:uiPriority w:val="0"/>
    <w:rPr>
      <w:b/>
      <w:bCs/>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uiPriority w:val="0"/>
    <w:rPr>
      <w:color w:val="800080"/>
      <w:u w:val="single"/>
    </w:rPr>
  </w:style>
  <w:style w:type="character" w:styleId="18">
    <w:name w:val="Hyperlink"/>
    <w:qFormat/>
    <w:uiPriority w:val="0"/>
    <w:rPr>
      <w:color w:val="0000FF"/>
      <w:u w:val="single"/>
    </w:rPr>
  </w:style>
  <w:style w:type="character" w:styleId="19">
    <w:name w:val="annotation reference"/>
    <w:semiHidden/>
    <w:uiPriority w:val="0"/>
    <w:rPr>
      <w:sz w:val="21"/>
      <w:szCs w:val="21"/>
    </w:rPr>
  </w:style>
  <w:style w:type="character" w:customStyle="1" w:styleId="20">
    <w:name w:val="公文字号 Char"/>
    <w:link w:val="21"/>
    <w:uiPriority w:val="0"/>
    <w:rPr>
      <w:rFonts w:ascii="仿宋_GB2312" w:hAnsi="华文中宋" w:eastAsia="仿宋_GB2312"/>
      <w:kern w:val="2"/>
      <w:sz w:val="32"/>
      <w:szCs w:val="32"/>
      <w:lang w:bidi="ar-SA"/>
    </w:rPr>
  </w:style>
  <w:style w:type="paragraph" w:customStyle="1" w:styleId="21">
    <w:name w:val="公文字号"/>
    <w:link w:val="20"/>
    <w:qFormat/>
    <w:uiPriority w:val="0"/>
    <w:pPr>
      <w:pBdr>
        <w:bottom w:val="single" w:color="FF0000" w:sz="24" w:space="1"/>
      </w:pBdr>
      <w:jc w:val="center"/>
    </w:pPr>
    <w:rPr>
      <w:rFonts w:ascii="仿宋_GB2312" w:hAnsi="华文中宋" w:eastAsia="仿宋_GB2312" w:cs="Times New Roman"/>
      <w:kern w:val="2"/>
      <w:sz w:val="32"/>
      <w:szCs w:val="32"/>
      <w:lang w:val="en-US" w:eastAsia="zh-CN" w:bidi="ar-SA"/>
    </w:rPr>
  </w:style>
  <w:style w:type="character" w:customStyle="1" w:styleId="22">
    <w:name w:val="Char Char2"/>
    <w:uiPriority w:val="0"/>
    <w:rPr>
      <w:rFonts w:ascii="宋体" w:hAnsi="Courier New"/>
      <w:kern w:val="2"/>
      <w:sz w:val="24"/>
      <w:lang w:bidi="ar-SA"/>
    </w:rPr>
  </w:style>
  <w:style w:type="paragraph" w:customStyle="1" w:styleId="23">
    <w:name w:val="默认段落字体 Para Char Char Char Char Char Char Char Char Char1 Char Char Char Char"/>
    <w:basedOn w:val="1"/>
    <w:qFormat/>
    <w:uiPriority w:val="0"/>
    <w:rPr>
      <w:rFonts w:ascii="Tahoma" w:hAnsi="Tahoma"/>
      <w:sz w:val="24"/>
      <w:szCs w:val="20"/>
    </w:rPr>
  </w:style>
  <w:style w:type="paragraph" w:customStyle="1" w:styleId="24">
    <w:name w:val="Char"/>
    <w:basedOn w:val="1"/>
    <w:qFormat/>
    <w:uiPriority w:val="0"/>
    <w:rPr>
      <w:rFonts w:ascii="Tahoma" w:hAnsi="Tahoma"/>
      <w:sz w:val="24"/>
      <w:szCs w:val="20"/>
    </w:rPr>
  </w:style>
  <w:style w:type="paragraph" w:customStyle="1" w:styleId="25">
    <w:name w:val="3"/>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6">
    <w:name w:val="Revisio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pgk</Company>
  <Pages>32</Pages>
  <Words>16303</Words>
  <Characters>16634</Characters>
  <Lines>119</Lines>
  <Paragraphs>33</Paragraphs>
  <TotalTime>8</TotalTime>
  <ScaleCrop>false</ScaleCrop>
  <LinksUpToDate>false</LinksUpToDate>
  <CharactersWithSpaces>16652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2023-04-26T09:28:00Z</dcterms:created>
  <dc:creator>Administrator</dc:creator>
  <cp:lastModifiedBy>WPS_1639545715</cp:lastModifiedBy>
  <cp:lastPrinted>2023-04-26T09:26:00Z</cp:lastPrinted>
  <dcterms:modified xsi:type="dcterms:W3CDTF">2023-04-28T08:24:08Z</dcterms:modified>
  <dc:title>江苏省2004年普通高等学校招生工作意见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9F0302C834C041B6A11586B9AAE3B5FF_13</vt:lpwstr>
  </property>
</Properties>
</file>