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黑体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江苏省20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中职职教高考本科和专科第一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批次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录取最低控制分数线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36"/>
        <w:gridCol w:w="2175"/>
        <w:gridCol w:w="2021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代码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科目组名称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本科分数线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kern w:val="0"/>
                <w:sz w:val="24"/>
              </w:rPr>
              <w:t>专科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第一批次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机械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机电一体化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电子电工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计算机应用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化工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171种植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172养殖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市场营销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旅游管理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艺术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211艺术设计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270/229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101/112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212音乐教育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167/224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145/167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215舞蹈编导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160/215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100/168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烹饪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汽车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纺织服装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体育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药品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----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</w:tbl>
    <w:p>
      <w:r>
        <w:rPr>
          <w:rFonts w:hint="default" w:ascii="Times New Roman" w:hAnsi="Times New Roman" w:eastAsia="楷体_GB2312" w:cs="Times New Roman"/>
          <w:b/>
          <w:bCs/>
          <w:kern w:val="0"/>
          <w:sz w:val="22"/>
          <w:szCs w:val="22"/>
        </w:rPr>
        <w:t>注：艺术</w:t>
      </w:r>
      <w:r>
        <w:rPr>
          <w:rFonts w:hint="eastAsia" w:ascii="Times New Roman" w:hAnsi="Times New Roman" w:eastAsia="楷体_GB2312" w:cs="Times New Roman"/>
          <w:b/>
          <w:bCs/>
          <w:kern w:val="0"/>
          <w:sz w:val="22"/>
          <w:szCs w:val="22"/>
          <w:lang w:val="en-US" w:eastAsia="zh-CN"/>
        </w:rPr>
        <w:t>科目组</w:t>
      </w:r>
      <w:r>
        <w:rPr>
          <w:rFonts w:hint="default" w:ascii="Times New Roman" w:hAnsi="Times New Roman" w:eastAsia="楷体_GB2312" w:cs="Times New Roman"/>
          <w:b/>
          <w:bCs/>
          <w:kern w:val="0"/>
          <w:sz w:val="22"/>
          <w:szCs w:val="22"/>
        </w:rPr>
        <w:t>分数线为文化统考成绩/专业技能成绩。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ZjVjMjExMDgyZTNhZWJkMWViY2JiMzA1NTBlMTUifQ=="/>
  </w:docVars>
  <w:rsids>
    <w:rsidRoot w:val="1B750823"/>
    <w:rsid w:val="1B75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2023-05-16T09:09:00Z</dcterms:created>
  <dc:creator>清心</dc:creator>
  <cp:lastModifiedBy>清心</cp:lastModifiedBy>
  <dcterms:modified xsi:type="dcterms:W3CDTF">2023-05-16T09:09:32Z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4E730AFEE727471A82083F7253C025C2_11</vt:lpwstr>
  </property>
</Properties>
</file>