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tabs>
          <w:tab w:val="right" w:leader="dot" w:pos="9070"/>
          <w:tab w:val="clear" w:pos="840"/>
          <w:tab w:val="clear" w:pos="8302"/>
        </w:tabs>
        <w:jc w:val="center"/>
        <w:rPr>
          <w:rFonts w:hint="eastAsia" w:ascii="仿宋" w:hAnsi="仿宋" w:eastAsia="仿宋" w:cs="仿宋"/>
          <w:b/>
          <w:sz w:val="28"/>
          <w:szCs w:val="28"/>
        </w:rPr>
      </w:pPr>
      <w:bookmarkStart w:id="0" w:name="_Toc27650"/>
      <w:r>
        <w:rPr>
          <w:rFonts w:hint="eastAsia" w:ascii="仿宋" w:hAnsi="仿宋" w:eastAsia="仿宋" w:cs="仿宋"/>
          <w:b/>
          <w:sz w:val="28"/>
          <w:szCs w:val="28"/>
        </w:rPr>
        <w:t>目录</w:t>
      </w:r>
    </w:p>
    <w:p>
      <w:pPr>
        <w:pStyle w:val="6"/>
        <w:tabs>
          <w:tab w:val="right" w:leader="dot" w:pos="9070"/>
          <w:tab w:val="clear" w:pos="840"/>
          <w:tab w:val="clear" w:pos="8302"/>
        </w:tabs>
        <w:rPr>
          <w:rFonts w:hint="eastAsia" w:ascii="微软雅黑" w:hAnsi="微软雅黑" w:eastAsia="微软雅黑" w:cs="微软雅黑"/>
          <w:szCs w:val="21"/>
        </w:rPr>
      </w:pPr>
      <w:r>
        <w:rPr>
          <w:rFonts w:hint="eastAsia" w:ascii="微软雅黑" w:hAnsi="微软雅黑" w:eastAsia="微软雅黑" w:cs="微软雅黑"/>
          <w:b/>
          <w:szCs w:val="21"/>
        </w:rPr>
        <w:fldChar w:fldCharType="begin"/>
      </w:r>
      <w:r>
        <w:rPr>
          <w:rFonts w:hint="eastAsia" w:ascii="微软雅黑" w:hAnsi="微软雅黑" w:eastAsia="微软雅黑" w:cs="微软雅黑"/>
          <w:b/>
          <w:szCs w:val="21"/>
        </w:rPr>
        <w:instrText xml:space="preserve"> TOC \* MERGEFORMAT </w:instrText>
      </w:r>
      <w:r>
        <w:rPr>
          <w:rFonts w:hint="eastAsia" w:ascii="微软雅黑" w:hAnsi="微软雅黑" w:eastAsia="微软雅黑" w:cs="微软雅黑"/>
          <w:b/>
          <w:szCs w:val="21"/>
        </w:rPr>
        <w:fldChar w:fldCharType="separate"/>
      </w:r>
      <w:r>
        <w:rPr>
          <w:rFonts w:hint="eastAsia" w:ascii="微软雅黑" w:hAnsi="微软雅黑" w:eastAsia="微软雅黑" w:cs="微软雅黑"/>
          <w:szCs w:val="21"/>
        </w:rPr>
        <w:t>第一部分  招标邀请函</w:t>
      </w:r>
      <w:r>
        <w:rPr>
          <w:rFonts w:hint="eastAsia" w:ascii="微软雅黑" w:hAnsi="微软雅黑" w:eastAsia="微软雅黑" w:cs="微软雅黑"/>
          <w:szCs w:val="21"/>
        </w:rPr>
        <w:tab/>
      </w: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PAGEREF _Toc22400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1"/>
        </w:rPr>
        <w:t>2</w:t>
      </w:r>
      <w:r>
        <w:rPr>
          <w:rFonts w:hint="eastAsia" w:ascii="微软雅黑" w:hAnsi="微软雅黑" w:eastAsia="微软雅黑" w:cs="微软雅黑"/>
          <w:szCs w:val="21"/>
        </w:rPr>
        <w:fldChar w:fldCharType="end"/>
      </w:r>
    </w:p>
    <w:p>
      <w:pPr>
        <w:pStyle w:val="6"/>
        <w:tabs>
          <w:tab w:val="right" w:leader="dot" w:pos="9070"/>
          <w:tab w:val="clear" w:pos="840"/>
          <w:tab w:val="clear" w:pos="8302"/>
        </w:tabs>
        <w:rPr>
          <w:rFonts w:hint="eastAsia" w:ascii="微软雅黑" w:hAnsi="微软雅黑" w:eastAsia="微软雅黑" w:cs="微软雅黑"/>
          <w:szCs w:val="21"/>
        </w:rPr>
      </w:pPr>
      <w:r>
        <w:rPr>
          <w:rFonts w:hint="eastAsia" w:ascii="微软雅黑" w:hAnsi="微软雅黑" w:eastAsia="微软雅黑" w:cs="微软雅黑"/>
          <w:szCs w:val="21"/>
        </w:rPr>
        <w:t>第二部分 投标商须知</w:t>
      </w:r>
      <w:r>
        <w:rPr>
          <w:rFonts w:hint="eastAsia" w:ascii="微软雅黑" w:hAnsi="微软雅黑" w:eastAsia="微软雅黑" w:cs="微软雅黑"/>
          <w:szCs w:val="21"/>
        </w:rPr>
        <w:tab/>
      </w: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PAGEREF _Toc27650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1"/>
        </w:rPr>
        <w:t>3</w:t>
      </w:r>
      <w:r>
        <w:rPr>
          <w:rFonts w:hint="eastAsia" w:ascii="微软雅黑" w:hAnsi="微软雅黑" w:eastAsia="微软雅黑" w:cs="微软雅黑"/>
          <w:szCs w:val="21"/>
        </w:rPr>
        <w:fldChar w:fldCharType="end"/>
      </w:r>
    </w:p>
    <w:p>
      <w:pPr>
        <w:pStyle w:val="8"/>
        <w:tabs>
          <w:tab w:val="right" w:leader="dot" w:pos="9070"/>
        </w:tabs>
        <w:rPr>
          <w:rFonts w:hint="eastAsia" w:ascii="微软雅黑" w:hAnsi="微软雅黑" w:eastAsia="微软雅黑" w:cs="微软雅黑"/>
          <w:sz w:val="21"/>
          <w:szCs w:val="21"/>
        </w:rPr>
      </w:pPr>
      <w:r>
        <w:rPr>
          <w:rFonts w:hint="eastAsia" w:ascii="微软雅黑" w:hAnsi="微软雅黑" w:eastAsia="微软雅黑" w:cs="微软雅黑"/>
          <w:sz w:val="21"/>
          <w:szCs w:val="21"/>
        </w:rPr>
        <w:t>一、特别提醒</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_Toc9532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3</w:t>
      </w:r>
      <w:r>
        <w:rPr>
          <w:rFonts w:hint="eastAsia" w:ascii="微软雅黑" w:hAnsi="微软雅黑" w:eastAsia="微软雅黑" w:cs="微软雅黑"/>
          <w:sz w:val="21"/>
          <w:szCs w:val="21"/>
        </w:rPr>
        <w:fldChar w:fldCharType="end"/>
      </w:r>
    </w:p>
    <w:p>
      <w:pPr>
        <w:pStyle w:val="8"/>
        <w:tabs>
          <w:tab w:val="right" w:leader="dot" w:pos="9070"/>
        </w:tabs>
        <w:rPr>
          <w:rFonts w:hint="eastAsia" w:ascii="微软雅黑" w:hAnsi="微软雅黑" w:eastAsia="微软雅黑" w:cs="微软雅黑"/>
          <w:sz w:val="21"/>
          <w:szCs w:val="21"/>
        </w:rPr>
      </w:pPr>
      <w:r>
        <w:rPr>
          <w:rFonts w:hint="eastAsia" w:ascii="微软雅黑" w:hAnsi="微软雅黑" w:eastAsia="微软雅黑" w:cs="微软雅黑"/>
          <w:sz w:val="21"/>
          <w:szCs w:val="21"/>
        </w:rPr>
        <w:t>二、投标单位需提供以下相关证明材料</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_Toc30849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3</w:t>
      </w:r>
      <w:r>
        <w:rPr>
          <w:rFonts w:hint="eastAsia" w:ascii="微软雅黑" w:hAnsi="微软雅黑" w:eastAsia="微软雅黑" w:cs="微软雅黑"/>
          <w:sz w:val="21"/>
          <w:szCs w:val="21"/>
        </w:rPr>
        <w:fldChar w:fldCharType="end"/>
      </w:r>
    </w:p>
    <w:p>
      <w:pPr>
        <w:pStyle w:val="8"/>
        <w:tabs>
          <w:tab w:val="right" w:leader="dot" w:pos="9070"/>
        </w:tabs>
        <w:rPr>
          <w:rFonts w:hint="eastAsia" w:ascii="微软雅黑" w:hAnsi="微软雅黑" w:eastAsia="微软雅黑" w:cs="微软雅黑"/>
          <w:sz w:val="21"/>
          <w:szCs w:val="21"/>
        </w:rPr>
      </w:pPr>
      <w:r>
        <w:rPr>
          <w:rFonts w:hint="eastAsia" w:ascii="微软雅黑" w:hAnsi="微软雅黑" w:eastAsia="微软雅黑" w:cs="微软雅黑"/>
          <w:sz w:val="21"/>
          <w:szCs w:val="21"/>
        </w:rPr>
        <w:t>三、投标相关事项</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_Toc6218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3</w:t>
      </w:r>
      <w:r>
        <w:rPr>
          <w:rFonts w:hint="eastAsia" w:ascii="微软雅黑" w:hAnsi="微软雅黑" w:eastAsia="微软雅黑" w:cs="微软雅黑"/>
          <w:sz w:val="21"/>
          <w:szCs w:val="21"/>
        </w:rPr>
        <w:fldChar w:fldCharType="end"/>
      </w:r>
    </w:p>
    <w:p>
      <w:pPr>
        <w:pStyle w:val="8"/>
        <w:tabs>
          <w:tab w:val="right" w:leader="dot" w:pos="9070"/>
        </w:tabs>
        <w:rPr>
          <w:rFonts w:hint="eastAsia" w:ascii="微软雅黑" w:hAnsi="微软雅黑" w:eastAsia="微软雅黑" w:cs="微软雅黑"/>
          <w:sz w:val="21"/>
          <w:szCs w:val="21"/>
        </w:rPr>
      </w:pPr>
      <w:r>
        <w:rPr>
          <w:rFonts w:hint="eastAsia" w:ascii="微软雅黑" w:hAnsi="微软雅黑" w:eastAsia="微软雅黑" w:cs="微软雅黑"/>
          <w:sz w:val="21"/>
          <w:szCs w:val="21"/>
        </w:rPr>
        <w:t>四、投标履约保证金</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_Toc26840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3</w:t>
      </w:r>
      <w:r>
        <w:rPr>
          <w:rFonts w:hint="eastAsia" w:ascii="微软雅黑" w:hAnsi="微软雅黑" w:eastAsia="微软雅黑" w:cs="微软雅黑"/>
          <w:sz w:val="21"/>
          <w:szCs w:val="21"/>
        </w:rPr>
        <w:fldChar w:fldCharType="end"/>
      </w:r>
    </w:p>
    <w:p>
      <w:pPr>
        <w:pStyle w:val="8"/>
        <w:tabs>
          <w:tab w:val="right" w:leader="dot" w:pos="9070"/>
        </w:tabs>
        <w:rPr>
          <w:rFonts w:hint="eastAsia" w:ascii="微软雅黑" w:hAnsi="微软雅黑" w:eastAsia="微软雅黑" w:cs="微软雅黑"/>
          <w:sz w:val="21"/>
          <w:szCs w:val="21"/>
        </w:rPr>
      </w:pPr>
      <w:r>
        <w:rPr>
          <w:rFonts w:hint="eastAsia" w:ascii="微软雅黑" w:hAnsi="微软雅黑" w:eastAsia="微软雅黑" w:cs="微软雅黑"/>
          <w:sz w:val="21"/>
          <w:szCs w:val="21"/>
        </w:rPr>
        <w:t>五、 评标和决标</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_Toc12640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4</w:t>
      </w:r>
      <w:r>
        <w:rPr>
          <w:rFonts w:hint="eastAsia" w:ascii="微软雅黑" w:hAnsi="微软雅黑" w:eastAsia="微软雅黑" w:cs="微软雅黑"/>
          <w:sz w:val="21"/>
          <w:szCs w:val="21"/>
        </w:rPr>
        <w:fldChar w:fldCharType="end"/>
      </w:r>
    </w:p>
    <w:p>
      <w:pPr>
        <w:pStyle w:val="8"/>
        <w:tabs>
          <w:tab w:val="right" w:leader="dot" w:pos="9070"/>
        </w:tabs>
        <w:rPr>
          <w:rFonts w:hint="eastAsia" w:ascii="微软雅黑" w:hAnsi="微软雅黑" w:eastAsia="微软雅黑" w:cs="微软雅黑"/>
          <w:sz w:val="21"/>
          <w:szCs w:val="21"/>
        </w:rPr>
      </w:pPr>
      <w:r>
        <w:rPr>
          <w:rFonts w:hint="eastAsia" w:ascii="微软雅黑" w:hAnsi="微软雅黑" w:eastAsia="微软雅黑" w:cs="微软雅黑"/>
          <w:sz w:val="21"/>
          <w:szCs w:val="21"/>
        </w:rPr>
        <w:t>六、合同条款要求</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_Toc2913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4</w:t>
      </w:r>
      <w:r>
        <w:rPr>
          <w:rFonts w:hint="eastAsia" w:ascii="微软雅黑" w:hAnsi="微软雅黑" w:eastAsia="微软雅黑" w:cs="微软雅黑"/>
          <w:sz w:val="21"/>
          <w:szCs w:val="21"/>
        </w:rPr>
        <w:fldChar w:fldCharType="end"/>
      </w:r>
    </w:p>
    <w:p>
      <w:pPr>
        <w:pStyle w:val="8"/>
        <w:tabs>
          <w:tab w:val="right" w:leader="dot" w:pos="9070"/>
        </w:tabs>
        <w:rPr>
          <w:rFonts w:hint="eastAsia" w:ascii="微软雅黑" w:hAnsi="微软雅黑" w:eastAsia="微软雅黑" w:cs="微软雅黑"/>
          <w:sz w:val="21"/>
          <w:szCs w:val="21"/>
        </w:rPr>
      </w:pPr>
      <w:r>
        <w:rPr>
          <w:rFonts w:hint="eastAsia" w:ascii="微软雅黑" w:hAnsi="微软雅黑" w:eastAsia="微软雅黑" w:cs="微软雅黑"/>
          <w:sz w:val="21"/>
          <w:szCs w:val="21"/>
        </w:rPr>
        <w:t>七．投标文件构成</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_Toc31750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5</w:t>
      </w:r>
      <w:r>
        <w:rPr>
          <w:rFonts w:hint="eastAsia" w:ascii="微软雅黑" w:hAnsi="微软雅黑" w:eastAsia="微软雅黑" w:cs="微软雅黑"/>
          <w:sz w:val="21"/>
          <w:szCs w:val="21"/>
        </w:rPr>
        <w:fldChar w:fldCharType="end"/>
      </w:r>
    </w:p>
    <w:p>
      <w:pPr>
        <w:pStyle w:val="6"/>
        <w:tabs>
          <w:tab w:val="right" w:leader="dot" w:pos="9070"/>
          <w:tab w:val="clear" w:pos="840"/>
          <w:tab w:val="clear" w:pos="8302"/>
        </w:tabs>
        <w:rPr>
          <w:rFonts w:hint="eastAsia" w:ascii="微软雅黑" w:hAnsi="微软雅黑" w:eastAsia="微软雅黑" w:cs="微软雅黑"/>
          <w:szCs w:val="21"/>
        </w:rPr>
      </w:pPr>
      <w:r>
        <w:rPr>
          <w:rFonts w:hint="eastAsia" w:ascii="微软雅黑" w:hAnsi="微软雅黑" w:eastAsia="微软雅黑" w:cs="微软雅黑"/>
          <w:szCs w:val="21"/>
        </w:rPr>
        <w:t>第三部分  招标项目内容及技术要求</w:t>
      </w:r>
      <w:r>
        <w:rPr>
          <w:rFonts w:hint="eastAsia" w:ascii="微软雅黑" w:hAnsi="微软雅黑" w:eastAsia="微软雅黑" w:cs="微软雅黑"/>
          <w:szCs w:val="21"/>
        </w:rPr>
        <w:tab/>
      </w: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PAGEREF _Toc8651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1"/>
        </w:rPr>
        <w:t>7</w:t>
      </w:r>
      <w:r>
        <w:rPr>
          <w:rFonts w:hint="eastAsia" w:ascii="微软雅黑" w:hAnsi="微软雅黑" w:eastAsia="微软雅黑" w:cs="微软雅黑"/>
          <w:szCs w:val="21"/>
        </w:rPr>
        <w:fldChar w:fldCharType="end"/>
      </w:r>
    </w:p>
    <w:p>
      <w:pPr>
        <w:pStyle w:val="8"/>
        <w:tabs>
          <w:tab w:val="right" w:leader="dot" w:pos="9070"/>
        </w:tabs>
        <w:rPr>
          <w:rFonts w:hint="eastAsia" w:ascii="微软雅黑" w:hAnsi="微软雅黑" w:eastAsia="微软雅黑" w:cs="微软雅黑"/>
          <w:sz w:val="21"/>
          <w:szCs w:val="21"/>
        </w:rPr>
      </w:pPr>
      <w:r>
        <w:rPr>
          <w:rFonts w:hint="eastAsia" w:ascii="微软雅黑" w:hAnsi="微软雅黑" w:eastAsia="微软雅黑" w:cs="微软雅黑"/>
          <w:sz w:val="21"/>
          <w:szCs w:val="21"/>
        </w:rPr>
        <w:t>一、项目建设清单</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_Toc11854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7</w:t>
      </w:r>
      <w:r>
        <w:rPr>
          <w:rFonts w:hint="eastAsia" w:ascii="微软雅黑" w:hAnsi="微软雅黑" w:eastAsia="微软雅黑" w:cs="微软雅黑"/>
          <w:sz w:val="21"/>
          <w:szCs w:val="21"/>
        </w:rPr>
        <w:fldChar w:fldCharType="end"/>
      </w:r>
    </w:p>
    <w:p>
      <w:pPr>
        <w:pStyle w:val="5"/>
        <w:tabs>
          <w:tab w:val="right" w:leader="dot" w:pos="9070"/>
          <w:tab w:val="clear" w:pos="8302"/>
        </w:tabs>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（一）大平台及系统集成部分</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_Toc8319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7</w:t>
      </w:r>
      <w:r>
        <w:rPr>
          <w:rFonts w:hint="eastAsia" w:ascii="微软雅黑" w:hAnsi="微软雅黑" w:eastAsia="微软雅黑" w:cs="微软雅黑"/>
          <w:sz w:val="21"/>
          <w:szCs w:val="21"/>
        </w:rPr>
        <w:fldChar w:fldCharType="end"/>
      </w:r>
    </w:p>
    <w:p>
      <w:pPr>
        <w:pStyle w:val="7"/>
        <w:tabs>
          <w:tab w:val="right" w:leader="dot" w:pos="9070"/>
        </w:tabs>
        <w:ind w:left="0" w:leftChars="0"/>
        <w:rPr>
          <w:rFonts w:hint="eastAsia" w:ascii="微软雅黑" w:hAnsi="微软雅黑" w:eastAsia="微软雅黑" w:cs="微软雅黑"/>
          <w:szCs w:val="21"/>
        </w:rPr>
      </w:pPr>
      <w:r>
        <w:rPr>
          <w:rFonts w:hint="eastAsia" w:ascii="微软雅黑" w:hAnsi="微软雅黑" w:eastAsia="微软雅黑" w:cs="微软雅黑"/>
          <w:szCs w:val="21"/>
        </w:rPr>
        <w:t xml:space="preserve">     （二）碎片化应用管理系统部分</w:t>
      </w:r>
      <w:r>
        <w:rPr>
          <w:rFonts w:hint="eastAsia" w:ascii="微软雅黑" w:hAnsi="微软雅黑" w:eastAsia="微软雅黑" w:cs="微软雅黑"/>
          <w:szCs w:val="21"/>
        </w:rPr>
        <w:tab/>
      </w: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PAGEREF _Toc3891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1"/>
        </w:rPr>
        <w:t>8</w:t>
      </w:r>
      <w:r>
        <w:rPr>
          <w:rFonts w:hint="eastAsia" w:ascii="微软雅黑" w:hAnsi="微软雅黑" w:eastAsia="微软雅黑" w:cs="微软雅黑"/>
          <w:szCs w:val="21"/>
        </w:rPr>
        <w:fldChar w:fldCharType="end"/>
      </w:r>
    </w:p>
    <w:p>
      <w:pPr>
        <w:pStyle w:val="7"/>
        <w:tabs>
          <w:tab w:val="right" w:leader="dot" w:pos="9070"/>
        </w:tabs>
        <w:ind w:left="0" w:leftChars="0"/>
        <w:rPr>
          <w:rFonts w:hint="eastAsia" w:ascii="微软雅黑" w:hAnsi="微软雅黑" w:eastAsia="微软雅黑" w:cs="微软雅黑"/>
          <w:szCs w:val="21"/>
        </w:rPr>
      </w:pPr>
      <w:r>
        <w:rPr>
          <w:rFonts w:hint="eastAsia" w:ascii="微软雅黑" w:hAnsi="微软雅黑" w:eastAsia="微软雅黑" w:cs="微软雅黑"/>
          <w:szCs w:val="21"/>
        </w:rPr>
        <w:t xml:space="preserve">     （三）基础支撑硬件平台部分</w:t>
      </w:r>
      <w:r>
        <w:rPr>
          <w:rFonts w:hint="eastAsia" w:ascii="微软雅黑" w:hAnsi="微软雅黑" w:eastAsia="微软雅黑" w:cs="微软雅黑"/>
          <w:szCs w:val="21"/>
        </w:rPr>
        <w:tab/>
      </w: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PAGEREF _Toc3570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1"/>
        </w:rPr>
        <w:t>9</w:t>
      </w:r>
      <w:r>
        <w:rPr>
          <w:rFonts w:hint="eastAsia" w:ascii="微软雅黑" w:hAnsi="微软雅黑" w:eastAsia="微软雅黑" w:cs="微软雅黑"/>
          <w:szCs w:val="21"/>
        </w:rPr>
        <w:fldChar w:fldCharType="end"/>
      </w:r>
    </w:p>
    <w:p>
      <w:pPr>
        <w:pStyle w:val="8"/>
        <w:tabs>
          <w:tab w:val="right" w:leader="dot" w:pos="9070"/>
        </w:tabs>
        <w:rPr>
          <w:rFonts w:hint="eastAsia" w:ascii="微软雅黑" w:hAnsi="微软雅黑" w:eastAsia="微软雅黑" w:cs="微软雅黑"/>
          <w:sz w:val="21"/>
          <w:szCs w:val="21"/>
        </w:rPr>
      </w:pPr>
      <w:r>
        <w:rPr>
          <w:rFonts w:hint="eastAsia" w:ascii="微软雅黑" w:hAnsi="微软雅黑" w:eastAsia="微软雅黑" w:cs="微软雅黑"/>
          <w:sz w:val="21"/>
          <w:szCs w:val="21"/>
        </w:rPr>
        <w:t>二、建设要求</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_Toc8468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10</w:t>
      </w:r>
      <w:r>
        <w:rPr>
          <w:rFonts w:hint="eastAsia" w:ascii="微软雅黑" w:hAnsi="微软雅黑" w:eastAsia="微软雅黑" w:cs="微软雅黑"/>
          <w:sz w:val="21"/>
          <w:szCs w:val="21"/>
        </w:rPr>
        <w:fldChar w:fldCharType="end"/>
      </w:r>
    </w:p>
    <w:p>
      <w:pPr>
        <w:pStyle w:val="5"/>
        <w:tabs>
          <w:tab w:val="right" w:leader="dot" w:pos="9070"/>
          <w:tab w:val="clear" w:pos="8302"/>
        </w:tabs>
        <w:rPr>
          <w:rFonts w:hint="eastAsia" w:ascii="微软雅黑" w:hAnsi="微软雅黑" w:eastAsia="微软雅黑" w:cs="微软雅黑"/>
          <w:sz w:val="21"/>
          <w:szCs w:val="21"/>
        </w:rPr>
      </w:pPr>
      <w:r>
        <w:rPr>
          <w:rFonts w:hint="eastAsia" w:ascii="微软雅黑" w:hAnsi="微软雅黑" w:eastAsia="微软雅黑" w:cs="微软雅黑"/>
          <w:sz w:val="21"/>
          <w:szCs w:val="21"/>
        </w:rPr>
        <w:t>（一）建设原则</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_Toc10691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10</w:t>
      </w:r>
      <w:r>
        <w:rPr>
          <w:rFonts w:hint="eastAsia" w:ascii="微软雅黑" w:hAnsi="微软雅黑" w:eastAsia="微软雅黑" w:cs="微软雅黑"/>
          <w:sz w:val="21"/>
          <w:szCs w:val="21"/>
        </w:rPr>
        <w:fldChar w:fldCharType="end"/>
      </w:r>
    </w:p>
    <w:p>
      <w:pPr>
        <w:pStyle w:val="5"/>
        <w:tabs>
          <w:tab w:val="right" w:leader="dot" w:pos="9070"/>
          <w:tab w:val="clear" w:pos="8302"/>
        </w:tabs>
        <w:rPr>
          <w:rFonts w:hint="eastAsia" w:ascii="微软雅黑" w:hAnsi="微软雅黑" w:eastAsia="微软雅黑" w:cs="微软雅黑"/>
          <w:sz w:val="21"/>
          <w:szCs w:val="21"/>
        </w:rPr>
      </w:pPr>
      <w:r>
        <w:rPr>
          <w:rFonts w:hint="eastAsia" w:ascii="微软雅黑" w:hAnsi="微软雅黑" w:eastAsia="微软雅黑" w:cs="微软雅黑"/>
          <w:sz w:val="21"/>
          <w:szCs w:val="21"/>
        </w:rPr>
        <w:t>（二）一期建设目标</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_Toc14566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10</w:t>
      </w:r>
      <w:r>
        <w:rPr>
          <w:rFonts w:hint="eastAsia" w:ascii="微软雅黑" w:hAnsi="微软雅黑" w:eastAsia="微软雅黑" w:cs="微软雅黑"/>
          <w:sz w:val="21"/>
          <w:szCs w:val="21"/>
        </w:rPr>
        <w:fldChar w:fldCharType="end"/>
      </w:r>
    </w:p>
    <w:p>
      <w:pPr>
        <w:pStyle w:val="5"/>
        <w:tabs>
          <w:tab w:val="right" w:leader="dot" w:pos="9070"/>
          <w:tab w:val="clear" w:pos="8302"/>
        </w:tabs>
        <w:rPr>
          <w:rFonts w:hint="eastAsia" w:ascii="微软雅黑" w:hAnsi="微软雅黑" w:eastAsia="微软雅黑" w:cs="微软雅黑"/>
          <w:sz w:val="21"/>
          <w:szCs w:val="21"/>
        </w:rPr>
      </w:pPr>
      <w:r>
        <w:rPr>
          <w:rFonts w:hint="eastAsia" w:ascii="微软雅黑" w:hAnsi="微软雅黑" w:eastAsia="微软雅黑" w:cs="微软雅黑"/>
          <w:sz w:val="21"/>
          <w:szCs w:val="21"/>
        </w:rPr>
        <w:t>（三）校园信息化运营平台上的功能细项</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_Toc412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11</w:t>
      </w:r>
      <w:r>
        <w:rPr>
          <w:rFonts w:hint="eastAsia" w:ascii="微软雅黑" w:hAnsi="微软雅黑" w:eastAsia="微软雅黑" w:cs="微软雅黑"/>
          <w:sz w:val="21"/>
          <w:szCs w:val="21"/>
        </w:rPr>
        <w:fldChar w:fldCharType="end"/>
      </w:r>
    </w:p>
    <w:p>
      <w:pPr>
        <w:pStyle w:val="7"/>
        <w:tabs>
          <w:tab w:val="right" w:leader="dot" w:pos="9070"/>
        </w:tabs>
        <w:rPr>
          <w:rFonts w:hint="eastAsia" w:ascii="微软雅黑" w:hAnsi="微软雅黑" w:eastAsia="微软雅黑" w:cs="微软雅黑"/>
          <w:szCs w:val="21"/>
        </w:rPr>
      </w:pPr>
      <w:r>
        <w:rPr>
          <w:rFonts w:hint="eastAsia" w:ascii="微软雅黑" w:hAnsi="微软雅黑" w:eastAsia="微软雅黑" w:cs="微软雅黑"/>
          <w:szCs w:val="21"/>
        </w:rPr>
        <w:t>1、统一身份认证管理平台</w:t>
      </w:r>
      <w:r>
        <w:rPr>
          <w:rFonts w:hint="eastAsia" w:ascii="微软雅黑" w:hAnsi="微软雅黑" w:eastAsia="微软雅黑" w:cs="微软雅黑"/>
          <w:szCs w:val="21"/>
        </w:rPr>
        <w:tab/>
      </w: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PAGEREF _Toc12303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1"/>
        </w:rPr>
        <w:t>11</w:t>
      </w:r>
      <w:r>
        <w:rPr>
          <w:rFonts w:hint="eastAsia" w:ascii="微软雅黑" w:hAnsi="微软雅黑" w:eastAsia="微软雅黑" w:cs="微软雅黑"/>
          <w:szCs w:val="21"/>
        </w:rPr>
        <w:fldChar w:fldCharType="end"/>
      </w:r>
    </w:p>
    <w:p>
      <w:pPr>
        <w:pStyle w:val="7"/>
        <w:tabs>
          <w:tab w:val="right" w:leader="dot" w:pos="9070"/>
        </w:tabs>
        <w:rPr>
          <w:rFonts w:hint="eastAsia" w:ascii="微软雅黑" w:hAnsi="微软雅黑" w:eastAsia="微软雅黑" w:cs="微软雅黑"/>
          <w:szCs w:val="21"/>
        </w:rPr>
      </w:pPr>
      <w:r>
        <w:rPr>
          <w:rFonts w:hint="eastAsia" w:ascii="微软雅黑" w:hAnsi="微软雅黑" w:eastAsia="微软雅黑" w:cs="微软雅黑"/>
          <w:szCs w:val="21"/>
        </w:rPr>
        <w:t>2、统一门户（含办事大厅）及基础平台</w:t>
      </w:r>
      <w:r>
        <w:rPr>
          <w:rFonts w:hint="eastAsia" w:ascii="微软雅黑" w:hAnsi="微软雅黑" w:eastAsia="微软雅黑" w:cs="微软雅黑"/>
          <w:szCs w:val="21"/>
        </w:rPr>
        <w:tab/>
      </w: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PAGEREF _Toc2595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1"/>
        </w:rPr>
        <w:t>11</w:t>
      </w:r>
      <w:r>
        <w:rPr>
          <w:rFonts w:hint="eastAsia" w:ascii="微软雅黑" w:hAnsi="微软雅黑" w:eastAsia="微软雅黑" w:cs="微软雅黑"/>
          <w:szCs w:val="21"/>
        </w:rPr>
        <w:fldChar w:fldCharType="end"/>
      </w:r>
    </w:p>
    <w:p>
      <w:pPr>
        <w:pStyle w:val="7"/>
        <w:tabs>
          <w:tab w:val="right" w:leader="dot" w:pos="9070"/>
        </w:tabs>
        <w:rPr>
          <w:rFonts w:hint="eastAsia" w:ascii="微软雅黑" w:hAnsi="微软雅黑" w:eastAsia="微软雅黑" w:cs="微软雅黑"/>
          <w:szCs w:val="21"/>
        </w:rPr>
      </w:pPr>
      <w:r>
        <w:rPr>
          <w:rFonts w:hint="eastAsia" w:ascii="微软雅黑" w:hAnsi="微软雅黑" w:eastAsia="微软雅黑" w:cs="微软雅黑"/>
          <w:szCs w:val="21"/>
        </w:rPr>
        <w:t>3、校园服务总线</w:t>
      </w:r>
      <w:r>
        <w:rPr>
          <w:rFonts w:hint="eastAsia" w:ascii="微软雅黑" w:hAnsi="微软雅黑" w:eastAsia="微软雅黑" w:cs="微软雅黑"/>
          <w:szCs w:val="21"/>
        </w:rPr>
        <w:tab/>
      </w: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PAGEREF _Toc3598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1"/>
        </w:rPr>
        <w:t>13</w:t>
      </w:r>
      <w:r>
        <w:rPr>
          <w:rFonts w:hint="eastAsia" w:ascii="微软雅黑" w:hAnsi="微软雅黑" w:eastAsia="微软雅黑" w:cs="微软雅黑"/>
          <w:szCs w:val="21"/>
        </w:rPr>
        <w:fldChar w:fldCharType="end"/>
      </w:r>
    </w:p>
    <w:p>
      <w:pPr>
        <w:pStyle w:val="7"/>
        <w:tabs>
          <w:tab w:val="right" w:leader="dot" w:pos="9070"/>
        </w:tabs>
        <w:rPr>
          <w:rFonts w:hint="eastAsia" w:ascii="微软雅黑" w:hAnsi="微软雅黑" w:eastAsia="微软雅黑" w:cs="微软雅黑"/>
          <w:szCs w:val="21"/>
        </w:rPr>
      </w:pPr>
      <w:r>
        <w:rPr>
          <w:rFonts w:hint="eastAsia" w:ascii="微软雅黑" w:hAnsi="微软雅黑" w:eastAsia="微软雅黑" w:cs="微软雅黑"/>
          <w:szCs w:val="21"/>
        </w:rPr>
        <w:t>4、主数据平台建设（含信息标准平台）</w:t>
      </w:r>
      <w:r>
        <w:rPr>
          <w:rFonts w:hint="eastAsia" w:ascii="微软雅黑" w:hAnsi="微软雅黑" w:eastAsia="微软雅黑" w:cs="微软雅黑"/>
          <w:szCs w:val="21"/>
        </w:rPr>
        <w:tab/>
      </w: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PAGEREF _Toc17544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1"/>
        </w:rPr>
        <w:t>14</w:t>
      </w:r>
      <w:r>
        <w:rPr>
          <w:rFonts w:hint="eastAsia" w:ascii="微软雅黑" w:hAnsi="微软雅黑" w:eastAsia="微软雅黑" w:cs="微软雅黑"/>
          <w:szCs w:val="21"/>
        </w:rPr>
        <w:fldChar w:fldCharType="end"/>
      </w:r>
    </w:p>
    <w:p>
      <w:pPr>
        <w:pStyle w:val="7"/>
        <w:tabs>
          <w:tab w:val="right" w:leader="dot" w:pos="9070"/>
        </w:tabs>
        <w:rPr>
          <w:rFonts w:hint="eastAsia" w:ascii="微软雅黑" w:hAnsi="微软雅黑" w:eastAsia="微软雅黑" w:cs="微软雅黑"/>
          <w:szCs w:val="21"/>
        </w:rPr>
      </w:pPr>
      <w:r>
        <w:rPr>
          <w:rFonts w:hint="eastAsia" w:ascii="微软雅黑" w:hAnsi="微软雅黑" w:eastAsia="微软雅黑" w:cs="微软雅黑"/>
          <w:szCs w:val="21"/>
        </w:rPr>
        <w:t>5、公共应用服务（不少于20个）</w:t>
      </w:r>
      <w:r>
        <w:rPr>
          <w:rFonts w:hint="eastAsia" w:ascii="微软雅黑" w:hAnsi="微软雅黑" w:eastAsia="微软雅黑" w:cs="微软雅黑"/>
          <w:szCs w:val="21"/>
        </w:rPr>
        <w:tab/>
      </w: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PAGEREF _Toc12372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1"/>
        </w:rPr>
        <w:t>15</w:t>
      </w:r>
      <w:r>
        <w:rPr>
          <w:rFonts w:hint="eastAsia" w:ascii="微软雅黑" w:hAnsi="微软雅黑" w:eastAsia="微软雅黑" w:cs="微软雅黑"/>
          <w:szCs w:val="21"/>
        </w:rPr>
        <w:fldChar w:fldCharType="end"/>
      </w:r>
    </w:p>
    <w:p>
      <w:pPr>
        <w:pStyle w:val="7"/>
        <w:tabs>
          <w:tab w:val="right" w:leader="dot" w:pos="9070"/>
        </w:tabs>
        <w:rPr>
          <w:rFonts w:hint="eastAsia" w:ascii="微软雅黑" w:hAnsi="微软雅黑" w:eastAsia="微软雅黑" w:cs="微软雅黑"/>
          <w:szCs w:val="21"/>
        </w:rPr>
      </w:pPr>
      <w:r>
        <w:rPr>
          <w:rFonts w:hint="eastAsia" w:ascii="微软雅黑" w:hAnsi="微软雅黑" w:eastAsia="微软雅黑" w:cs="微软雅黑"/>
          <w:szCs w:val="21"/>
        </w:rPr>
        <w:t>6、协同办公系统应用服务（OA系统）</w:t>
      </w:r>
      <w:r>
        <w:rPr>
          <w:rFonts w:hint="eastAsia" w:ascii="微软雅黑" w:hAnsi="微软雅黑" w:eastAsia="微软雅黑" w:cs="微软雅黑"/>
          <w:szCs w:val="21"/>
        </w:rPr>
        <w:tab/>
      </w: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PAGEREF _Toc32116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1"/>
        </w:rPr>
        <w:t>18</w:t>
      </w:r>
      <w:r>
        <w:rPr>
          <w:rFonts w:hint="eastAsia" w:ascii="微软雅黑" w:hAnsi="微软雅黑" w:eastAsia="微软雅黑" w:cs="微软雅黑"/>
          <w:szCs w:val="21"/>
        </w:rPr>
        <w:fldChar w:fldCharType="end"/>
      </w:r>
    </w:p>
    <w:p>
      <w:pPr>
        <w:pStyle w:val="7"/>
        <w:tabs>
          <w:tab w:val="right" w:leader="dot" w:pos="9070"/>
        </w:tabs>
        <w:rPr>
          <w:rFonts w:hint="eastAsia" w:ascii="微软雅黑" w:hAnsi="微软雅黑" w:eastAsia="微软雅黑" w:cs="微软雅黑"/>
          <w:szCs w:val="21"/>
        </w:rPr>
      </w:pPr>
      <w:r>
        <w:rPr>
          <w:rFonts w:hint="eastAsia" w:ascii="微软雅黑" w:hAnsi="微软雅黑" w:eastAsia="微软雅黑" w:cs="微软雅黑"/>
          <w:szCs w:val="21"/>
        </w:rPr>
        <w:t>7、决策数据智能分析</w:t>
      </w:r>
      <w:r>
        <w:rPr>
          <w:rFonts w:hint="eastAsia" w:ascii="微软雅黑" w:hAnsi="微软雅黑" w:eastAsia="微软雅黑" w:cs="微软雅黑"/>
          <w:szCs w:val="21"/>
        </w:rPr>
        <w:tab/>
      </w: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PAGEREF _Toc27133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1"/>
        </w:rPr>
        <w:t>21</w:t>
      </w:r>
      <w:r>
        <w:rPr>
          <w:rFonts w:hint="eastAsia" w:ascii="微软雅黑" w:hAnsi="微软雅黑" w:eastAsia="微软雅黑" w:cs="微软雅黑"/>
          <w:szCs w:val="21"/>
        </w:rPr>
        <w:fldChar w:fldCharType="end"/>
      </w:r>
    </w:p>
    <w:p>
      <w:pPr>
        <w:pStyle w:val="7"/>
        <w:tabs>
          <w:tab w:val="right" w:leader="dot" w:pos="9070"/>
        </w:tabs>
        <w:rPr>
          <w:rFonts w:hint="eastAsia" w:ascii="微软雅黑" w:hAnsi="微软雅黑" w:eastAsia="微软雅黑" w:cs="微软雅黑"/>
          <w:szCs w:val="21"/>
        </w:rPr>
      </w:pPr>
      <w:r>
        <w:rPr>
          <w:rFonts w:hint="eastAsia" w:ascii="微软雅黑" w:hAnsi="微软雅黑" w:eastAsia="微软雅黑" w:cs="微软雅黑"/>
          <w:szCs w:val="21"/>
        </w:rPr>
        <w:t>8、碎片化应用服务</w:t>
      </w:r>
      <w:r>
        <w:rPr>
          <w:rFonts w:hint="eastAsia" w:ascii="微软雅黑" w:hAnsi="微软雅黑" w:eastAsia="微软雅黑" w:cs="微软雅黑"/>
          <w:szCs w:val="21"/>
        </w:rPr>
        <w:tab/>
      </w: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PAGEREF _Toc22617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1"/>
        </w:rPr>
        <w:t>21</w:t>
      </w:r>
      <w:r>
        <w:rPr>
          <w:rFonts w:hint="eastAsia" w:ascii="微软雅黑" w:hAnsi="微软雅黑" w:eastAsia="微软雅黑" w:cs="微软雅黑"/>
          <w:szCs w:val="21"/>
        </w:rPr>
        <w:fldChar w:fldCharType="end"/>
      </w:r>
    </w:p>
    <w:p>
      <w:pPr>
        <w:pStyle w:val="8"/>
        <w:tabs>
          <w:tab w:val="right" w:leader="dot" w:pos="9070"/>
        </w:tabs>
        <w:rPr>
          <w:rFonts w:hint="eastAsia" w:ascii="微软雅黑" w:hAnsi="微软雅黑" w:eastAsia="微软雅黑" w:cs="微软雅黑"/>
          <w:sz w:val="21"/>
          <w:szCs w:val="21"/>
        </w:rPr>
      </w:pPr>
      <w:r>
        <w:rPr>
          <w:rFonts w:hint="eastAsia" w:ascii="微软雅黑" w:hAnsi="微软雅黑" w:eastAsia="微软雅黑" w:cs="微软雅黑"/>
          <w:sz w:val="21"/>
          <w:szCs w:val="21"/>
        </w:rPr>
        <w:t>三、校园信息化的技术要求</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_Toc8783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22</w:t>
      </w:r>
      <w:r>
        <w:rPr>
          <w:rFonts w:hint="eastAsia" w:ascii="微软雅黑" w:hAnsi="微软雅黑" w:eastAsia="微软雅黑" w:cs="微软雅黑"/>
          <w:sz w:val="21"/>
          <w:szCs w:val="21"/>
        </w:rPr>
        <w:fldChar w:fldCharType="end"/>
      </w:r>
    </w:p>
    <w:p>
      <w:pPr>
        <w:pStyle w:val="8"/>
        <w:tabs>
          <w:tab w:val="right" w:leader="dot" w:pos="9070"/>
        </w:tabs>
        <w:rPr>
          <w:rFonts w:hint="eastAsia" w:ascii="微软雅黑" w:hAnsi="微软雅黑" w:eastAsia="微软雅黑" w:cs="微软雅黑"/>
          <w:sz w:val="21"/>
          <w:szCs w:val="21"/>
        </w:rPr>
      </w:pPr>
      <w:r>
        <w:rPr>
          <w:rFonts w:hint="eastAsia" w:ascii="微软雅黑" w:hAnsi="微软雅黑" w:eastAsia="微软雅黑" w:cs="微软雅黑"/>
          <w:sz w:val="21"/>
          <w:szCs w:val="21"/>
        </w:rPr>
        <w:t>四、培训及技术转移</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_Toc12927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25</w:t>
      </w:r>
      <w:r>
        <w:rPr>
          <w:rFonts w:hint="eastAsia" w:ascii="微软雅黑" w:hAnsi="微软雅黑" w:eastAsia="微软雅黑" w:cs="微软雅黑"/>
          <w:sz w:val="21"/>
          <w:szCs w:val="21"/>
        </w:rPr>
        <w:fldChar w:fldCharType="end"/>
      </w:r>
    </w:p>
    <w:p>
      <w:pPr>
        <w:pStyle w:val="8"/>
        <w:tabs>
          <w:tab w:val="right" w:leader="dot" w:pos="9070"/>
        </w:tabs>
        <w:rPr>
          <w:rFonts w:hint="eastAsia" w:ascii="微软雅黑" w:hAnsi="微软雅黑" w:eastAsia="微软雅黑" w:cs="微软雅黑"/>
          <w:sz w:val="21"/>
          <w:szCs w:val="21"/>
        </w:rPr>
      </w:pPr>
      <w:r>
        <w:rPr>
          <w:rFonts w:hint="eastAsia" w:ascii="微软雅黑" w:hAnsi="微软雅黑" w:eastAsia="微软雅黑" w:cs="微软雅黑"/>
          <w:sz w:val="21"/>
          <w:szCs w:val="21"/>
        </w:rPr>
        <w:t>五、演示要求</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_Toc28708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26</w:t>
      </w:r>
      <w:r>
        <w:rPr>
          <w:rFonts w:hint="eastAsia" w:ascii="微软雅黑" w:hAnsi="微软雅黑" w:eastAsia="微软雅黑" w:cs="微软雅黑"/>
          <w:sz w:val="21"/>
          <w:szCs w:val="21"/>
        </w:rPr>
        <w:fldChar w:fldCharType="end"/>
      </w:r>
    </w:p>
    <w:p>
      <w:pPr>
        <w:pStyle w:val="6"/>
        <w:tabs>
          <w:tab w:val="right" w:leader="dot" w:pos="9070"/>
          <w:tab w:val="clear" w:pos="840"/>
          <w:tab w:val="clear" w:pos="8302"/>
        </w:tabs>
        <w:rPr>
          <w:rFonts w:hint="eastAsia" w:ascii="微软雅黑" w:hAnsi="微软雅黑" w:eastAsia="微软雅黑" w:cs="微软雅黑"/>
          <w:szCs w:val="21"/>
        </w:rPr>
      </w:pPr>
      <w:r>
        <w:rPr>
          <w:rFonts w:hint="eastAsia" w:ascii="微软雅黑" w:hAnsi="微软雅黑" w:eastAsia="微软雅黑" w:cs="微软雅黑"/>
          <w:szCs w:val="21"/>
        </w:rPr>
        <w:t>第四部分 附件</w:t>
      </w:r>
      <w:r>
        <w:rPr>
          <w:rFonts w:hint="eastAsia" w:ascii="微软雅黑" w:hAnsi="微软雅黑" w:eastAsia="微软雅黑" w:cs="微软雅黑"/>
          <w:szCs w:val="21"/>
        </w:rPr>
        <w:tab/>
      </w: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PAGEREF _Toc836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1"/>
        </w:rPr>
        <w:t>26</w:t>
      </w:r>
      <w:r>
        <w:rPr>
          <w:rFonts w:hint="eastAsia" w:ascii="微软雅黑" w:hAnsi="微软雅黑" w:eastAsia="微软雅黑" w:cs="微软雅黑"/>
          <w:szCs w:val="21"/>
        </w:rPr>
        <w:fldChar w:fldCharType="end"/>
      </w:r>
    </w:p>
    <w:p>
      <w:pPr>
        <w:pStyle w:val="8"/>
        <w:tabs>
          <w:tab w:val="right" w:leader="dot" w:pos="9070"/>
        </w:tabs>
        <w:rPr>
          <w:rFonts w:hint="eastAsia" w:ascii="微软雅黑" w:hAnsi="微软雅黑" w:eastAsia="微软雅黑" w:cs="微软雅黑"/>
          <w:sz w:val="21"/>
          <w:szCs w:val="21"/>
        </w:rPr>
      </w:pPr>
      <w:r>
        <w:rPr>
          <w:rFonts w:hint="eastAsia" w:ascii="微软雅黑" w:hAnsi="微软雅黑" w:eastAsia="微软雅黑" w:cs="微软雅黑"/>
          <w:sz w:val="21"/>
          <w:szCs w:val="21"/>
        </w:rPr>
        <w:t>附件1  投标书（格式）</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_Toc25002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26</w:t>
      </w:r>
      <w:r>
        <w:rPr>
          <w:rFonts w:hint="eastAsia" w:ascii="微软雅黑" w:hAnsi="微软雅黑" w:eastAsia="微软雅黑" w:cs="微软雅黑"/>
          <w:sz w:val="21"/>
          <w:szCs w:val="21"/>
        </w:rPr>
        <w:fldChar w:fldCharType="end"/>
      </w:r>
    </w:p>
    <w:p>
      <w:pPr>
        <w:pStyle w:val="8"/>
        <w:tabs>
          <w:tab w:val="right" w:leader="dot" w:pos="9070"/>
        </w:tabs>
        <w:rPr>
          <w:rFonts w:hint="eastAsia" w:ascii="微软雅黑" w:hAnsi="微软雅黑" w:eastAsia="微软雅黑" w:cs="微软雅黑"/>
          <w:sz w:val="21"/>
          <w:szCs w:val="21"/>
        </w:rPr>
      </w:pPr>
      <w:r>
        <w:rPr>
          <w:rFonts w:hint="eastAsia" w:ascii="微软雅黑" w:hAnsi="微软雅黑" w:eastAsia="微软雅黑" w:cs="微软雅黑"/>
          <w:sz w:val="21"/>
          <w:szCs w:val="21"/>
        </w:rPr>
        <w:t>附件2  投标一览表</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_Toc19288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27</w:t>
      </w:r>
      <w:r>
        <w:rPr>
          <w:rFonts w:hint="eastAsia" w:ascii="微软雅黑" w:hAnsi="微软雅黑" w:eastAsia="微软雅黑" w:cs="微软雅黑"/>
          <w:sz w:val="21"/>
          <w:szCs w:val="21"/>
        </w:rPr>
        <w:fldChar w:fldCharType="end"/>
      </w:r>
    </w:p>
    <w:p>
      <w:pPr>
        <w:pStyle w:val="8"/>
        <w:tabs>
          <w:tab w:val="right" w:leader="dot" w:pos="9070"/>
        </w:tabs>
        <w:rPr>
          <w:rFonts w:hint="eastAsia" w:ascii="微软雅黑" w:hAnsi="微软雅黑" w:eastAsia="微软雅黑" w:cs="微软雅黑"/>
          <w:sz w:val="21"/>
          <w:szCs w:val="21"/>
        </w:rPr>
      </w:pPr>
      <w:r>
        <w:rPr>
          <w:rFonts w:hint="eastAsia" w:ascii="微软雅黑" w:hAnsi="微软雅黑" w:eastAsia="微软雅黑" w:cs="微软雅黑"/>
          <w:sz w:val="21"/>
          <w:szCs w:val="21"/>
        </w:rPr>
        <w:t>附件3  投标分项报价表</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_Toc23326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28</w:t>
      </w:r>
      <w:r>
        <w:rPr>
          <w:rFonts w:hint="eastAsia" w:ascii="微软雅黑" w:hAnsi="微软雅黑" w:eastAsia="微软雅黑" w:cs="微软雅黑"/>
          <w:sz w:val="21"/>
          <w:szCs w:val="21"/>
        </w:rPr>
        <w:fldChar w:fldCharType="end"/>
      </w:r>
    </w:p>
    <w:p>
      <w:pPr>
        <w:pStyle w:val="8"/>
        <w:tabs>
          <w:tab w:val="right" w:leader="dot" w:pos="9070"/>
        </w:tabs>
        <w:rPr>
          <w:rFonts w:hint="eastAsia" w:ascii="微软雅黑" w:hAnsi="微软雅黑" w:eastAsia="微软雅黑" w:cs="微软雅黑"/>
          <w:sz w:val="21"/>
          <w:szCs w:val="21"/>
        </w:rPr>
      </w:pPr>
      <w:r>
        <w:rPr>
          <w:rFonts w:hint="eastAsia" w:ascii="微软雅黑" w:hAnsi="微软雅黑" w:eastAsia="微软雅黑" w:cs="微软雅黑"/>
          <w:sz w:val="21"/>
          <w:szCs w:val="21"/>
        </w:rPr>
        <w:t>附件4  资格证明文件（格式）附件4-1  法定代表人授权书(格式)</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_Toc29452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29</w:t>
      </w:r>
      <w:r>
        <w:rPr>
          <w:rFonts w:hint="eastAsia" w:ascii="微软雅黑" w:hAnsi="微软雅黑" w:eastAsia="微软雅黑" w:cs="微软雅黑"/>
          <w:sz w:val="21"/>
          <w:szCs w:val="21"/>
        </w:rPr>
        <w:fldChar w:fldCharType="end"/>
      </w:r>
    </w:p>
    <w:p>
      <w:pPr>
        <w:pStyle w:val="8"/>
        <w:tabs>
          <w:tab w:val="right" w:leader="dot" w:pos="9070"/>
        </w:tabs>
        <w:rPr>
          <w:rFonts w:hint="eastAsia" w:ascii="微软雅黑" w:hAnsi="微软雅黑" w:eastAsia="微软雅黑" w:cs="微软雅黑"/>
          <w:sz w:val="21"/>
          <w:szCs w:val="21"/>
        </w:rPr>
      </w:pPr>
      <w:r>
        <w:rPr>
          <w:rFonts w:hint="eastAsia" w:ascii="微软雅黑" w:hAnsi="微软雅黑" w:eastAsia="微软雅黑" w:cs="微软雅黑"/>
          <w:sz w:val="21"/>
          <w:szCs w:val="21"/>
        </w:rPr>
        <w:t>附件5  业绩证明文件</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_Toc3184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31</w:t>
      </w:r>
      <w:r>
        <w:rPr>
          <w:rFonts w:hint="eastAsia" w:ascii="微软雅黑" w:hAnsi="微软雅黑" w:eastAsia="微软雅黑" w:cs="微软雅黑"/>
          <w:sz w:val="21"/>
          <w:szCs w:val="21"/>
        </w:rPr>
        <w:fldChar w:fldCharType="end"/>
      </w:r>
    </w:p>
    <w:p>
      <w:pPr>
        <w:pStyle w:val="8"/>
        <w:tabs>
          <w:tab w:val="right" w:leader="dot" w:pos="9070"/>
        </w:tabs>
        <w:rPr>
          <w:rFonts w:hint="eastAsia" w:ascii="微软雅黑" w:hAnsi="微软雅黑" w:eastAsia="微软雅黑" w:cs="微软雅黑"/>
          <w:sz w:val="21"/>
          <w:szCs w:val="21"/>
        </w:rPr>
      </w:pPr>
      <w:r>
        <w:rPr>
          <w:rFonts w:hint="eastAsia" w:ascii="微软雅黑" w:hAnsi="微软雅黑" w:eastAsia="微软雅黑" w:cs="微软雅黑"/>
          <w:sz w:val="21"/>
          <w:szCs w:val="21"/>
        </w:rPr>
        <w:t>附件6  项目实施（供货）方案及售后服务方案和承诺</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_Toc14315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32</w:t>
      </w:r>
      <w:r>
        <w:rPr>
          <w:rFonts w:hint="eastAsia" w:ascii="微软雅黑" w:hAnsi="微软雅黑" w:eastAsia="微软雅黑" w:cs="微软雅黑"/>
          <w:sz w:val="21"/>
          <w:szCs w:val="21"/>
        </w:rPr>
        <w:fldChar w:fldCharType="end"/>
      </w:r>
    </w:p>
    <w:p>
      <w:pPr>
        <w:pStyle w:val="2"/>
        <w:jc w:val="center"/>
        <w:rPr>
          <w:rFonts w:hint="eastAsia"/>
          <w:sz w:val="32"/>
          <w:szCs w:val="32"/>
        </w:rPr>
      </w:pPr>
      <w:r>
        <w:rPr>
          <w:rFonts w:hint="eastAsia" w:ascii="微软雅黑" w:hAnsi="微软雅黑" w:eastAsia="微软雅黑" w:cs="微软雅黑"/>
          <w:b/>
          <w:szCs w:val="21"/>
        </w:rPr>
        <w:fldChar w:fldCharType="end"/>
      </w:r>
      <w:bookmarkStart w:id="8" w:name="_GoBack"/>
      <w:bookmarkEnd w:id="8"/>
    </w:p>
    <w:p>
      <w:pPr>
        <w:pStyle w:val="2"/>
        <w:jc w:val="center"/>
        <w:rPr>
          <w:rFonts w:hint="eastAsia"/>
          <w:sz w:val="32"/>
          <w:szCs w:val="32"/>
        </w:rPr>
      </w:pPr>
      <w:r>
        <w:rPr>
          <w:rFonts w:hint="eastAsia"/>
          <w:sz w:val="32"/>
          <w:szCs w:val="32"/>
        </w:rPr>
        <w:t>第二部分 投标商须知</w:t>
      </w:r>
      <w:bookmarkEnd w:id="0"/>
    </w:p>
    <w:p>
      <w:pPr>
        <w:pStyle w:val="3"/>
        <w:rPr>
          <w:rFonts w:hint="eastAsia"/>
          <w:sz w:val="21"/>
          <w:szCs w:val="21"/>
        </w:rPr>
      </w:pPr>
      <w:r>
        <w:rPr>
          <w:rFonts w:hint="eastAsia"/>
        </w:rPr>
        <w:t xml:space="preserve">   </w:t>
      </w:r>
      <w:r>
        <w:rPr>
          <w:rFonts w:hint="eastAsia"/>
          <w:sz w:val="21"/>
          <w:szCs w:val="21"/>
        </w:rPr>
        <w:t xml:space="preserve"> </w:t>
      </w:r>
      <w:bookmarkStart w:id="1" w:name="_Toc9532"/>
      <w:r>
        <w:rPr>
          <w:rFonts w:hint="eastAsia"/>
          <w:sz w:val="21"/>
          <w:szCs w:val="21"/>
        </w:rPr>
        <w:t>一、特别提醒</w:t>
      </w:r>
      <w:bookmarkEnd w:id="1"/>
    </w:p>
    <w:p>
      <w:pPr>
        <w:pStyle w:val="4"/>
        <w:spacing w:line="360" w:lineRule="auto"/>
        <w:ind w:firstLine="426"/>
        <w:rPr>
          <w:rFonts w:hint="eastAsia" w:ascii="仿宋" w:hAnsi="仿宋" w:eastAsia="仿宋" w:cs="仿宋"/>
          <w:sz w:val="21"/>
          <w:szCs w:val="21"/>
        </w:rPr>
      </w:pPr>
      <w:r>
        <w:rPr>
          <w:rFonts w:hint="eastAsia" w:ascii="仿宋" w:hAnsi="仿宋" w:eastAsia="仿宋" w:cs="仿宋"/>
          <w:sz w:val="21"/>
          <w:szCs w:val="21"/>
        </w:rPr>
        <w:t>各投标商须仔细阅读本招标书及附件，了解有关的招标规定，承担招标书对投标人的各项约束与责任。本次需求为</w:t>
      </w:r>
      <w:r>
        <w:rPr>
          <w:rFonts w:hint="eastAsia" w:ascii="仿宋" w:hAnsi="仿宋" w:eastAsia="仿宋" w:cs="仿宋"/>
          <w:b/>
          <w:szCs w:val="30"/>
        </w:rPr>
        <w:t>闭口</w:t>
      </w:r>
      <w:r>
        <w:rPr>
          <w:rFonts w:hint="eastAsia" w:ascii="仿宋" w:hAnsi="仿宋" w:eastAsia="仿宋" w:cs="仿宋"/>
          <w:sz w:val="21"/>
          <w:szCs w:val="21"/>
        </w:rPr>
        <w:t>需求，投标方须充分考虑学院的现在和未来的需求基础上，充分评估本项目的报价，中标后本项目不得以任何理由增加费用。凡不符合本招标书各项要求的标书，均认定为无效标书。</w:t>
      </w:r>
    </w:p>
    <w:p>
      <w:pPr>
        <w:spacing w:line="360" w:lineRule="auto"/>
        <w:outlineLvl w:val="0"/>
        <w:rPr>
          <w:rFonts w:hint="eastAsia" w:ascii="仿宋" w:hAnsi="仿宋" w:eastAsia="仿宋" w:cs="仿宋"/>
          <w:b/>
          <w:sz w:val="24"/>
        </w:rPr>
      </w:pPr>
      <w:r>
        <w:rPr>
          <w:rFonts w:hint="eastAsia" w:ascii="仿宋" w:hAnsi="仿宋" w:eastAsia="仿宋" w:cs="仿宋"/>
          <w:b/>
          <w:szCs w:val="21"/>
        </w:rPr>
        <w:t xml:space="preserve">   </w:t>
      </w:r>
      <w:bookmarkStart w:id="2" w:name="_Toc30849"/>
      <w:r>
        <w:rPr>
          <w:rStyle w:val="12"/>
          <w:rFonts w:hint="eastAsia"/>
          <w:sz w:val="21"/>
          <w:szCs w:val="21"/>
        </w:rPr>
        <w:t>二、投标单位需提供以下相关证明材料</w:t>
      </w:r>
      <w:bookmarkEnd w:id="2"/>
      <w:r>
        <w:rPr>
          <w:rStyle w:val="12"/>
          <w:rFonts w:hint="eastAsia"/>
          <w:sz w:val="24"/>
          <w:szCs w:val="24"/>
        </w:rPr>
        <w:t>（前三条需提供原件、复印件，接受招标单位资信审查）</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1．企业工商营业执照副本、组织机构代码、工商税务登记（地税、国税）复印件各一份，复印件加盖单位公章；“三证合一”的投标商提供新证复印件，并加盖单位公章。</w:t>
      </w:r>
    </w:p>
    <w:p>
      <w:pPr>
        <w:tabs>
          <w:tab w:val="left" w:pos="360"/>
        </w:tabs>
        <w:spacing w:line="360" w:lineRule="auto"/>
        <w:ind w:firstLine="420" w:firstLineChars="200"/>
        <w:rPr>
          <w:rFonts w:hint="eastAsia" w:ascii="仿宋" w:hAnsi="仿宋" w:eastAsia="仿宋" w:cs="仿宋"/>
          <w:szCs w:val="21"/>
        </w:rPr>
      </w:pPr>
      <w:r>
        <w:rPr>
          <w:rFonts w:hint="eastAsia" w:ascii="仿宋" w:hAnsi="仿宋" w:eastAsia="仿宋" w:cs="仿宋"/>
          <w:szCs w:val="21"/>
        </w:rPr>
        <w:t>2．法人授权委托书原件和被委托人身份证复印件各一份。</w:t>
      </w:r>
    </w:p>
    <w:p>
      <w:pPr>
        <w:tabs>
          <w:tab w:val="left" w:pos="360"/>
        </w:tabs>
        <w:spacing w:line="360" w:lineRule="auto"/>
        <w:ind w:firstLine="420" w:firstLineChars="200"/>
        <w:rPr>
          <w:rFonts w:hint="eastAsia" w:ascii="仿宋" w:hAnsi="仿宋" w:eastAsia="仿宋" w:cs="仿宋"/>
          <w:szCs w:val="21"/>
        </w:rPr>
      </w:pPr>
      <w:r>
        <w:rPr>
          <w:rFonts w:hint="eastAsia" w:ascii="仿宋" w:hAnsi="仿宋" w:eastAsia="仿宋" w:cs="仿宋"/>
          <w:szCs w:val="21"/>
        </w:rPr>
        <w:t>3．生产厂商授权书原件及</w:t>
      </w:r>
      <w:r>
        <w:rPr>
          <w:rFonts w:hint="eastAsia" w:ascii="仿宋" w:hAnsi="仿宋" w:eastAsia="仿宋" w:cs="仿宋"/>
          <w:szCs w:val="21"/>
          <w:shd w:val="clear" w:color="auto" w:fill="FFFFFF"/>
        </w:rPr>
        <w:t>针对此项目售后服务的承诺函</w:t>
      </w:r>
      <w:r>
        <w:rPr>
          <w:rFonts w:hint="eastAsia" w:ascii="仿宋" w:hAnsi="仿宋" w:eastAsia="仿宋" w:cs="仿宋"/>
          <w:szCs w:val="21"/>
        </w:rPr>
        <w:t>各一份。</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4．密封标书一式十一份，一份正本，十份副本，并加盖单位公章。（投标人应在封袋上标明《正本》、《副本》字样。正本和副本如有不一致之处，以正本为准。）</w:t>
      </w:r>
    </w:p>
    <w:p>
      <w:pPr>
        <w:spacing w:line="360" w:lineRule="auto"/>
        <w:outlineLvl w:val="0"/>
        <w:rPr>
          <w:rStyle w:val="12"/>
          <w:rFonts w:hint="eastAsia"/>
          <w:sz w:val="21"/>
          <w:szCs w:val="21"/>
        </w:rPr>
      </w:pPr>
      <w:r>
        <w:rPr>
          <w:rFonts w:hint="eastAsia" w:ascii="仿宋" w:hAnsi="仿宋" w:eastAsia="仿宋" w:cs="仿宋"/>
          <w:b/>
          <w:szCs w:val="21"/>
        </w:rPr>
        <w:t xml:space="preserve">    </w:t>
      </w:r>
      <w:bookmarkStart w:id="3" w:name="_Toc6218"/>
      <w:r>
        <w:rPr>
          <w:rStyle w:val="12"/>
          <w:rFonts w:hint="eastAsia"/>
          <w:sz w:val="21"/>
          <w:szCs w:val="21"/>
        </w:rPr>
        <w:t>三、投标相关事项</w:t>
      </w:r>
    </w:p>
    <w:bookmarkEnd w:id="3"/>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1．投标单位必须</w:t>
      </w:r>
      <w:r>
        <w:rPr>
          <w:rFonts w:hint="eastAsia" w:ascii="仿宋" w:hAnsi="仿宋" w:eastAsia="仿宋" w:cs="仿宋"/>
          <w:szCs w:val="21"/>
          <w:shd w:val="clear" w:color="auto" w:fill="FFFFFF"/>
        </w:rPr>
        <w:t>在中华人民共和国境内注册，能够独立承担民事责任，有生产或供应能力的本国供应商，遵守国家有关法律、法规、规章，具有良好的商业信誉和健全的财务会计制度。</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2．投标单位必须具有相应的硬软件开发、集成、安装、调试、售后服务能力，包括拥有相应的设备、技术及服务人员。</w:t>
      </w:r>
    </w:p>
    <w:p>
      <w:pPr>
        <w:snapToGrid w:val="0"/>
        <w:spacing w:line="360" w:lineRule="auto"/>
        <w:rPr>
          <w:rFonts w:hint="eastAsia" w:ascii="仿宋" w:hAnsi="仿宋" w:eastAsia="仿宋" w:cs="仿宋"/>
          <w:bCs/>
          <w:szCs w:val="21"/>
        </w:rPr>
      </w:pPr>
      <w:r>
        <w:rPr>
          <w:rFonts w:hint="eastAsia" w:ascii="仿宋" w:hAnsi="仿宋" w:eastAsia="仿宋" w:cs="仿宋"/>
          <w:szCs w:val="21"/>
        </w:rPr>
        <w:t xml:space="preserve">    3．投标单位需提供近3年完成的</w:t>
      </w:r>
      <w:r>
        <w:rPr>
          <w:rFonts w:hint="eastAsia" w:ascii="仿宋" w:hAnsi="仿宋" w:eastAsia="仿宋" w:cs="仿宋"/>
          <w:bCs/>
          <w:szCs w:val="21"/>
        </w:rPr>
        <w:t>同类型</w:t>
      </w:r>
      <w:r>
        <w:rPr>
          <w:rFonts w:hint="eastAsia" w:ascii="仿宋" w:hAnsi="仿宋" w:eastAsia="仿宋" w:cs="仿宋"/>
          <w:szCs w:val="21"/>
        </w:rPr>
        <w:t>同等级</w:t>
      </w:r>
      <w:r>
        <w:rPr>
          <w:rFonts w:hint="eastAsia" w:ascii="仿宋" w:hAnsi="仿宋" w:eastAsia="仿宋" w:cs="仿宋"/>
          <w:bCs/>
          <w:szCs w:val="21"/>
        </w:rPr>
        <w:t>或同规模及以上项目的案例和正在履行的合同情况。</w:t>
      </w:r>
    </w:p>
    <w:p>
      <w:pPr>
        <w:spacing w:line="360" w:lineRule="auto"/>
        <w:ind w:firstLine="420" w:firstLineChars="200"/>
        <w:rPr>
          <w:rFonts w:hint="eastAsia" w:ascii="仿宋" w:hAnsi="仿宋" w:eastAsia="仿宋" w:cs="仿宋"/>
          <w:szCs w:val="21"/>
          <w:shd w:val="clear" w:color="auto" w:fill="FFFFFF"/>
        </w:rPr>
      </w:pPr>
      <w:r>
        <w:rPr>
          <w:rFonts w:hint="eastAsia" w:ascii="仿宋" w:hAnsi="仿宋" w:eastAsia="仿宋" w:cs="仿宋"/>
          <w:szCs w:val="21"/>
        </w:rPr>
        <w:t>4．投标单位所交付的软件系统及设备应为符合本标书规定的项目需求、性能指标要求及技术参数，并按行业标准制造并验收合格的品牌产品。</w:t>
      </w:r>
      <w:r>
        <w:rPr>
          <w:rFonts w:hint="eastAsia" w:ascii="仿宋" w:hAnsi="仿宋" w:eastAsia="仿宋" w:cs="仿宋"/>
          <w:szCs w:val="21"/>
          <w:shd w:val="clear" w:color="auto" w:fill="FFFFFF"/>
        </w:rPr>
        <w:t>具有生产商针对项目售后服务的承诺函。</w:t>
      </w:r>
    </w:p>
    <w:p>
      <w:pPr>
        <w:spacing w:line="360" w:lineRule="auto"/>
        <w:ind w:firstLine="420" w:firstLine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rPr>
        <w:t>5.通过“信用中国”网站（www.creditchina.gov.cn）和中国政府采购网（www.ccgp.gov.cn）查询信用记录（截止时点为投标截止时间），对列入失信被执行人、重大税收违法案件当事人、政府采购严重违法失信行为记录名单的供应商，没有资格参加本项采购活动。</w:t>
      </w:r>
    </w:p>
    <w:p>
      <w:pPr>
        <w:spacing w:line="360" w:lineRule="auto"/>
        <w:ind w:firstLine="422" w:firstLineChars="200"/>
        <w:rPr>
          <w:rFonts w:hint="eastAsia" w:ascii="仿宋" w:hAnsi="仿宋" w:eastAsia="仿宋" w:cs="仿宋"/>
          <w:b/>
          <w:szCs w:val="21"/>
          <w:shd w:val="clear" w:color="auto" w:fill="FFFFFF"/>
        </w:rPr>
      </w:pPr>
      <w:r>
        <w:rPr>
          <w:rFonts w:hint="eastAsia" w:ascii="仿宋" w:hAnsi="仿宋" w:eastAsia="仿宋" w:cs="仿宋"/>
          <w:b/>
          <w:szCs w:val="21"/>
          <w:shd w:val="clear" w:color="auto" w:fill="FFFFFF"/>
        </w:rPr>
        <w:t>6.</w:t>
      </w:r>
      <w:r>
        <w:rPr>
          <w:rFonts w:hint="eastAsia" w:ascii="仿宋" w:hAnsi="仿宋" w:eastAsia="仿宋" w:cs="仿宋"/>
          <w:b/>
          <w:szCs w:val="21"/>
        </w:rPr>
        <w:t xml:space="preserve"> 投标单位</w:t>
      </w:r>
      <w:r>
        <w:rPr>
          <w:rFonts w:hint="eastAsia" w:ascii="仿宋" w:hAnsi="仿宋" w:eastAsia="仿宋" w:cs="仿宋"/>
          <w:b/>
          <w:szCs w:val="21"/>
          <w:shd w:val="clear" w:color="auto" w:fill="FFFFFF"/>
        </w:rPr>
        <w:t>报价按第三部分“项目建设清单（一）（二）（三）表中所列”分别报价并计算总价。</w:t>
      </w:r>
    </w:p>
    <w:p>
      <w:pPr>
        <w:spacing w:line="360" w:lineRule="auto"/>
        <w:rPr>
          <w:rFonts w:hint="eastAsia" w:ascii="仿宋" w:hAnsi="仿宋" w:eastAsia="仿宋" w:cs="仿宋"/>
          <w:b/>
          <w:szCs w:val="21"/>
        </w:rPr>
      </w:pPr>
      <w:r>
        <w:rPr>
          <w:rFonts w:hint="eastAsia" w:ascii="仿宋" w:hAnsi="仿宋" w:eastAsia="仿宋" w:cs="仿宋"/>
          <w:b/>
          <w:szCs w:val="21"/>
        </w:rPr>
        <w:t xml:space="preserve">  </w:t>
      </w:r>
      <w:r>
        <w:rPr>
          <w:rStyle w:val="12"/>
          <w:rFonts w:hint="eastAsia"/>
          <w:sz w:val="21"/>
          <w:szCs w:val="21"/>
        </w:rPr>
        <w:t xml:space="preserve"> </w:t>
      </w:r>
      <w:bookmarkStart w:id="4" w:name="_Toc26840"/>
      <w:r>
        <w:rPr>
          <w:rStyle w:val="12"/>
          <w:rFonts w:hint="eastAsia"/>
          <w:sz w:val="21"/>
          <w:szCs w:val="21"/>
        </w:rPr>
        <w:t>四、投标履约保证金</w:t>
      </w:r>
      <w:bookmarkEnd w:id="4"/>
    </w:p>
    <w:p>
      <w:pPr>
        <w:spacing w:line="360" w:lineRule="auto"/>
        <w:ind w:firstLine="420" w:firstLine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rPr>
        <w:t>金额：人民币50,000元（人民币伍万元整）</w:t>
      </w:r>
    </w:p>
    <w:p>
      <w:pPr>
        <w:spacing w:line="360" w:lineRule="auto"/>
        <w:ind w:firstLine="420" w:firstLine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rPr>
        <w:t>交付方式：银行转账</w:t>
      </w:r>
    </w:p>
    <w:p>
      <w:pPr>
        <w:spacing w:line="360" w:lineRule="auto"/>
        <w:ind w:firstLine="420" w:firstLine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rPr>
        <w:t>收款单位（户名）：九州职业技术学院</w:t>
      </w:r>
    </w:p>
    <w:p>
      <w:pPr>
        <w:spacing w:line="360" w:lineRule="auto"/>
        <w:ind w:firstLine="420" w:firstLine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rPr>
        <w:t>开户银行：工行泉山支行</w:t>
      </w:r>
    </w:p>
    <w:p>
      <w:pPr>
        <w:tabs>
          <w:tab w:val="left" w:pos="567"/>
        </w:tabs>
        <w:spacing w:line="360" w:lineRule="auto"/>
        <w:ind w:firstLine="420" w:firstLine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rPr>
        <w:t>银行账号：</w:t>
      </w:r>
      <w:r>
        <w:rPr>
          <w:rFonts w:hint="eastAsia" w:ascii="仿宋" w:hAnsi="仿宋" w:eastAsia="仿宋" w:cs="仿宋"/>
          <w:b/>
          <w:bCs/>
          <w:szCs w:val="21"/>
          <w:shd w:val="clear" w:color="auto" w:fill="FFFFFF"/>
        </w:rPr>
        <w:t>1106 0211 1921 0006 244</w:t>
      </w:r>
    </w:p>
    <w:p>
      <w:pPr>
        <w:spacing w:line="360" w:lineRule="auto"/>
        <w:ind w:firstLine="420" w:firstLineChars="200"/>
        <w:rPr>
          <w:rFonts w:hint="eastAsia" w:ascii="仿宋" w:hAnsi="仿宋" w:eastAsia="仿宋" w:cs="仿宋"/>
          <w:b/>
          <w:bCs/>
          <w:szCs w:val="21"/>
        </w:rPr>
      </w:pPr>
      <w:r>
        <w:rPr>
          <w:rFonts w:hint="eastAsia" w:ascii="仿宋" w:hAnsi="仿宋" w:eastAsia="仿宋" w:cs="仿宋"/>
          <w:szCs w:val="21"/>
          <w:shd w:val="clear" w:color="auto" w:fill="FFFFFF"/>
        </w:rPr>
        <w:t>转账需标准投标单位名称全称。未按时足额缴纳投标保证金的投标商，将视为无效投标。</w:t>
      </w:r>
    </w:p>
    <w:p>
      <w:pPr>
        <w:tabs>
          <w:tab w:val="left" w:pos="567"/>
        </w:tabs>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下列任何情况发生时，投标保证金将被不予退还：</w:t>
      </w:r>
    </w:p>
    <w:p>
      <w:pPr>
        <w:tabs>
          <w:tab w:val="left" w:pos="426"/>
        </w:tabs>
        <w:spacing w:line="360" w:lineRule="auto"/>
        <w:ind w:firstLine="372" w:firstLineChars="177"/>
        <w:rPr>
          <w:rFonts w:hint="eastAsia" w:ascii="仿宋" w:hAnsi="仿宋" w:eastAsia="仿宋" w:cs="仿宋"/>
          <w:szCs w:val="21"/>
        </w:rPr>
      </w:pPr>
      <w:r>
        <w:rPr>
          <w:rFonts w:hint="eastAsia" w:ascii="仿宋" w:hAnsi="仿宋" w:eastAsia="仿宋" w:cs="仿宋"/>
          <w:szCs w:val="21"/>
        </w:rPr>
        <w:t>（1）投标人在投标文件中提供虚假材料的；</w:t>
      </w:r>
    </w:p>
    <w:p>
      <w:pPr>
        <w:tabs>
          <w:tab w:val="left" w:pos="426"/>
        </w:tabs>
        <w:spacing w:line="360" w:lineRule="auto"/>
        <w:ind w:firstLine="372" w:firstLineChars="177"/>
        <w:rPr>
          <w:rFonts w:hint="eastAsia" w:ascii="仿宋" w:hAnsi="仿宋" w:eastAsia="仿宋" w:cs="仿宋"/>
          <w:szCs w:val="21"/>
        </w:rPr>
      </w:pPr>
      <w:r>
        <w:rPr>
          <w:rFonts w:hint="eastAsia" w:ascii="仿宋" w:hAnsi="仿宋" w:eastAsia="仿宋" w:cs="仿宋"/>
          <w:szCs w:val="21"/>
        </w:rPr>
        <w:t>（2）中标人不按本须知的规定与采购人签订合同的；</w:t>
      </w:r>
    </w:p>
    <w:p>
      <w:pPr>
        <w:tabs>
          <w:tab w:val="left" w:pos="426"/>
        </w:tabs>
        <w:spacing w:line="360" w:lineRule="auto"/>
        <w:ind w:firstLine="372" w:firstLineChars="177"/>
        <w:rPr>
          <w:rFonts w:hint="eastAsia" w:ascii="仿宋" w:hAnsi="仿宋" w:eastAsia="仿宋" w:cs="仿宋"/>
          <w:szCs w:val="21"/>
        </w:rPr>
      </w:pPr>
      <w:r>
        <w:rPr>
          <w:rFonts w:hint="eastAsia" w:ascii="仿宋" w:hAnsi="仿宋" w:eastAsia="仿宋" w:cs="仿宋"/>
          <w:szCs w:val="21"/>
        </w:rPr>
        <w:t>（3）将中标项目转让给他人，或者在投标文件中未说明，且未经采购人同意，将中标项目分包给他人的；</w:t>
      </w:r>
    </w:p>
    <w:p>
      <w:pPr>
        <w:tabs>
          <w:tab w:val="left" w:pos="426"/>
        </w:tabs>
        <w:spacing w:line="360" w:lineRule="auto"/>
        <w:ind w:firstLine="372" w:firstLineChars="177"/>
        <w:rPr>
          <w:rFonts w:hint="eastAsia" w:ascii="仿宋" w:hAnsi="仿宋" w:eastAsia="仿宋" w:cs="仿宋"/>
          <w:szCs w:val="21"/>
        </w:rPr>
      </w:pPr>
      <w:r>
        <w:rPr>
          <w:rFonts w:hint="eastAsia" w:ascii="仿宋" w:hAnsi="仿宋" w:eastAsia="仿宋" w:cs="仿宋"/>
          <w:szCs w:val="21"/>
        </w:rPr>
        <w:t>（4）拒绝履行合同义务的。</w:t>
      </w:r>
    </w:p>
    <w:p>
      <w:pPr>
        <w:spacing w:line="360" w:lineRule="auto"/>
        <w:rPr>
          <w:rStyle w:val="12"/>
          <w:rFonts w:hint="eastAsia"/>
          <w:sz w:val="21"/>
          <w:szCs w:val="21"/>
        </w:rPr>
      </w:pPr>
      <w:r>
        <w:rPr>
          <w:rFonts w:hint="eastAsia" w:ascii="仿宋" w:hAnsi="仿宋" w:eastAsia="仿宋" w:cs="仿宋"/>
          <w:b/>
          <w:szCs w:val="21"/>
        </w:rPr>
        <w:t xml:space="preserve">   </w:t>
      </w:r>
      <w:bookmarkStart w:id="5" w:name="_Toc12640"/>
      <w:r>
        <w:rPr>
          <w:rStyle w:val="12"/>
          <w:rFonts w:hint="eastAsia"/>
          <w:sz w:val="21"/>
          <w:szCs w:val="21"/>
        </w:rPr>
        <w:t>五、 评标和决标</w:t>
      </w:r>
    </w:p>
    <w:bookmarkEnd w:id="5"/>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1．为了保证此次招投标工作遵循公开、公平、公正和诚实信用的原则，九州职业技术学院专门成立了评标组，评标组由技术专家、职能管理部门相关人员组成。</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评标组对投标进行评审，最后选定中标人。评标遵循对买方最为有利的原则，根据投标商提供的软硬件品牌、质量、价格、服务承诺、投标商的实力信誉等多项因素加以综合评议，最优的价格、最佳的质量、最好的服务等是决定中标与否的依据。</w:t>
      </w:r>
    </w:p>
    <w:p>
      <w:pPr>
        <w:tabs>
          <w:tab w:val="left" w:pos="1365"/>
        </w:tabs>
        <w:spacing w:line="360" w:lineRule="auto"/>
        <w:ind w:firstLine="420" w:firstLineChars="200"/>
        <w:rPr>
          <w:rFonts w:hint="eastAsia" w:ascii="仿宋" w:hAnsi="仿宋" w:eastAsia="仿宋" w:cs="仿宋"/>
          <w:color w:val="FF0000"/>
          <w:szCs w:val="21"/>
        </w:rPr>
      </w:pPr>
      <w:r>
        <w:rPr>
          <w:rFonts w:hint="eastAsia" w:ascii="仿宋" w:hAnsi="仿宋" w:eastAsia="仿宋" w:cs="仿宋"/>
          <w:szCs w:val="21"/>
        </w:rPr>
        <w:t>3．招标会后3个工作日内，由九州职业技术学院招标组通知中标方。未中标的单位不发通知，对未中标的原因招标人不予解释，投标履约保证金予以退还。</w:t>
      </w:r>
    </w:p>
    <w:p>
      <w:pPr>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4．中标方应于收到中标通知后即3日内与我校以投标书及现场承诺为准，确定合同的条款，签订正式软件实施、硬件供货买卖合同。中标人若因自己的原因不能在规定时间内履约签订合同，评标组有权取消中标方中标资格并扣除中标人的投标履约保证金，重新评定中标人。</w:t>
      </w:r>
    </w:p>
    <w:p>
      <w:pPr>
        <w:tabs>
          <w:tab w:val="left" w:pos="426"/>
        </w:tabs>
        <w:spacing w:line="360" w:lineRule="auto"/>
        <w:ind w:firstLine="373" w:firstLineChars="177"/>
        <w:rPr>
          <w:rFonts w:hint="eastAsia" w:ascii="仿宋" w:hAnsi="仿宋" w:eastAsia="仿宋" w:cs="仿宋"/>
          <w:b/>
          <w:bCs/>
          <w:szCs w:val="21"/>
        </w:rPr>
      </w:pPr>
      <w:r>
        <w:rPr>
          <w:rFonts w:hint="eastAsia" w:ascii="仿宋" w:hAnsi="仿宋" w:eastAsia="仿宋" w:cs="仿宋"/>
          <w:b/>
          <w:bCs/>
          <w:szCs w:val="21"/>
        </w:rPr>
        <w:t>5、发现下列情况之一的，其投标将被予以拒绝：</w:t>
      </w:r>
    </w:p>
    <w:p>
      <w:pPr>
        <w:tabs>
          <w:tab w:val="left" w:pos="426"/>
        </w:tabs>
        <w:spacing w:line="360" w:lineRule="auto"/>
        <w:ind w:firstLine="372" w:firstLineChars="177"/>
        <w:rPr>
          <w:rFonts w:hint="eastAsia" w:ascii="仿宋" w:hAnsi="仿宋" w:eastAsia="仿宋" w:cs="仿宋"/>
          <w:szCs w:val="21"/>
        </w:rPr>
      </w:pPr>
      <w:r>
        <w:rPr>
          <w:rFonts w:hint="eastAsia" w:ascii="仿宋" w:hAnsi="仿宋" w:eastAsia="仿宋" w:cs="仿宋"/>
          <w:szCs w:val="21"/>
        </w:rPr>
        <w:t>1)投标人未按要求提交投标保证金；</w:t>
      </w:r>
    </w:p>
    <w:p>
      <w:pPr>
        <w:tabs>
          <w:tab w:val="left" w:pos="426"/>
        </w:tabs>
        <w:spacing w:line="360" w:lineRule="auto"/>
        <w:ind w:firstLine="372" w:firstLineChars="177"/>
        <w:rPr>
          <w:rFonts w:hint="eastAsia" w:ascii="仿宋" w:hAnsi="仿宋" w:eastAsia="仿宋" w:cs="仿宋"/>
          <w:szCs w:val="21"/>
        </w:rPr>
      </w:pPr>
      <w:r>
        <w:rPr>
          <w:rFonts w:hint="eastAsia" w:ascii="仿宋" w:hAnsi="仿宋" w:eastAsia="仿宋" w:cs="仿宋"/>
          <w:szCs w:val="21"/>
        </w:rPr>
        <w:t>2)超出经营范围投标的；</w:t>
      </w:r>
    </w:p>
    <w:p>
      <w:pPr>
        <w:tabs>
          <w:tab w:val="left" w:pos="426"/>
        </w:tabs>
        <w:spacing w:line="360" w:lineRule="auto"/>
        <w:ind w:firstLine="372" w:firstLineChars="177"/>
        <w:rPr>
          <w:rFonts w:hint="eastAsia" w:ascii="仿宋" w:hAnsi="仿宋" w:eastAsia="仿宋" w:cs="仿宋"/>
          <w:szCs w:val="21"/>
        </w:rPr>
      </w:pPr>
      <w:r>
        <w:rPr>
          <w:rFonts w:hint="eastAsia" w:ascii="仿宋" w:hAnsi="仿宋" w:eastAsia="仿宋" w:cs="仿宋"/>
          <w:szCs w:val="21"/>
        </w:rPr>
        <w:t>3)不满足合格的投标人条件的，包括通过“信用中国”网站（www.creditchina.gov.cn）和中国政府采购网（www.ccgp.gov.cn）进行查询（截止时点为投标截止时间），发现有被列入失信被执行人、重大税收违法案件当事人、政府采购严重违法失信行为记录名单供应商的；</w:t>
      </w:r>
    </w:p>
    <w:p>
      <w:pPr>
        <w:tabs>
          <w:tab w:val="left" w:pos="426"/>
        </w:tabs>
        <w:spacing w:line="360" w:lineRule="auto"/>
        <w:ind w:firstLine="372" w:firstLineChars="177"/>
        <w:rPr>
          <w:rFonts w:hint="eastAsia" w:ascii="仿宋" w:hAnsi="仿宋" w:eastAsia="仿宋" w:cs="仿宋"/>
          <w:szCs w:val="21"/>
        </w:rPr>
      </w:pPr>
      <w:r>
        <w:rPr>
          <w:rFonts w:hint="eastAsia" w:ascii="仿宋" w:hAnsi="仿宋" w:eastAsia="仿宋" w:cs="仿宋"/>
          <w:szCs w:val="21"/>
        </w:rPr>
        <w:t xml:space="preserve">4)资格证明文件不全的； </w:t>
      </w:r>
    </w:p>
    <w:p>
      <w:pPr>
        <w:tabs>
          <w:tab w:val="left" w:pos="426"/>
        </w:tabs>
        <w:spacing w:line="360" w:lineRule="auto"/>
        <w:ind w:firstLine="372" w:firstLineChars="177"/>
        <w:rPr>
          <w:rFonts w:hint="eastAsia" w:ascii="仿宋" w:hAnsi="仿宋" w:eastAsia="仿宋" w:cs="仿宋"/>
          <w:szCs w:val="21"/>
        </w:rPr>
      </w:pPr>
      <w:r>
        <w:rPr>
          <w:rFonts w:hint="eastAsia" w:ascii="仿宋" w:hAnsi="仿宋" w:eastAsia="仿宋" w:cs="仿宋"/>
          <w:szCs w:val="21"/>
        </w:rPr>
        <w:t>5)不符合法律、法规和招标文件中规定的其它实质性要求的。</w:t>
      </w:r>
    </w:p>
    <w:p>
      <w:pPr>
        <w:spacing w:line="360" w:lineRule="auto"/>
        <w:outlineLvl w:val="0"/>
        <w:rPr>
          <w:rFonts w:hint="eastAsia" w:ascii="仿宋" w:hAnsi="仿宋" w:eastAsia="仿宋" w:cs="仿宋"/>
          <w:b/>
          <w:szCs w:val="21"/>
        </w:rPr>
      </w:pPr>
      <w:r>
        <w:rPr>
          <w:rFonts w:hint="eastAsia" w:ascii="仿宋" w:hAnsi="仿宋" w:eastAsia="仿宋" w:cs="仿宋"/>
          <w:b/>
          <w:sz w:val="24"/>
        </w:rPr>
        <w:t xml:space="preserve"> </w:t>
      </w:r>
      <w:r>
        <w:rPr>
          <w:rFonts w:hint="eastAsia" w:ascii="仿宋" w:hAnsi="仿宋" w:eastAsia="仿宋" w:cs="仿宋"/>
          <w:b/>
          <w:szCs w:val="21"/>
        </w:rPr>
        <w:t xml:space="preserve">  </w:t>
      </w:r>
      <w:bookmarkStart w:id="6" w:name="_Toc2913"/>
      <w:r>
        <w:rPr>
          <w:rStyle w:val="12"/>
          <w:rFonts w:hint="eastAsia"/>
          <w:sz w:val="21"/>
          <w:szCs w:val="21"/>
        </w:rPr>
        <w:t>六、合同条款要求</w:t>
      </w:r>
      <w:bookmarkEnd w:id="6"/>
    </w:p>
    <w:p>
      <w:pPr>
        <w:spacing w:line="360" w:lineRule="auto"/>
        <w:ind w:left="424" w:leftChars="202"/>
        <w:rPr>
          <w:rFonts w:hint="eastAsia" w:ascii="仿宋" w:hAnsi="仿宋" w:eastAsia="仿宋" w:cs="仿宋"/>
          <w:b/>
          <w:szCs w:val="21"/>
        </w:rPr>
      </w:pPr>
      <w:r>
        <w:rPr>
          <w:rFonts w:hint="eastAsia" w:ascii="仿宋" w:hAnsi="仿宋" w:eastAsia="仿宋" w:cs="仿宋"/>
          <w:b/>
          <w:szCs w:val="21"/>
        </w:rPr>
        <w:t>1.质量保证</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中标方开放数据库和数据字典，免费提供各类接口；能根据我校情况需求进行个性化二次开发，提供二次开发的标准文档，并提供二次开发深入培训，方便用户自行二次开发；支持这些数据进行二次加工与分析，并在移动设备上呈现。深入学校各职能部门，各院系进行工作流程调研，表单、流程的制作需涵盖学校所有相关部门，满足学校各部门的需求。</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中标方需提供完整详细的项目实施方案，系统上线和试运行期间要有驻场人员保障系统稳定运行。系统验收后应交付相关文档，包括系统部署文档、数据库字典表、系统软件模块功能说明文档、用户手册、管理员手册等。软件实施阶段结束、硬件设备安装竣工并验收合格之日为质保期起算日。中标方应保证其提供的软件、设备、材料等是正版的、全新的，并符合合同规定的生产厂家、品牌、型号、主要技术参数和质量，否则招标方将有权拒收并追究投标方的相应违约责任。</w:t>
      </w:r>
    </w:p>
    <w:p>
      <w:pPr>
        <w:tabs>
          <w:tab w:val="left" w:pos="426"/>
        </w:tabs>
        <w:spacing w:line="360" w:lineRule="auto"/>
        <w:ind w:firstLine="372" w:firstLineChars="177"/>
        <w:rPr>
          <w:rFonts w:hint="eastAsia" w:ascii="仿宋" w:hAnsi="仿宋" w:eastAsia="仿宋" w:cs="仿宋"/>
          <w:szCs w:val="21"/>
        </w:rPr>
      </w:pPr>
      <w:r>
        <w:rPr>
          <w:rFonts w:hint="eastAsia" w:ascii="仿宋" w:hAnsi="仿宋" w:eastAsia="仿宋" w:cs="仿宋"/>
          <w:szCs w:val="21"/>
        </w:rPr>
        <w:t>（3）中标方应免费提供与本次招标项目相关的所有技术资料,包括所有设备的配套文件(含厂商的质保书、合格证) 、用户手册、操作手册、安装手册、装箱单、系统安全设计及相关文档等，提供7*24小时技术支持服务热线；软硬件出现故障一小时内做出响应, 两小时内派员处理故障，最迟在二十四小时内排除故障；当涉及更换软件、设备或备件时，所换上的设备或备件将自更换之日起继续享有规定的质保。以上服务所产生的所有费用由投标中标方或卖方公司承担。</w:t>
      </w:r>
    </w:p>
    <w:p>
      <w:pPr>
        <w:spacing w:line="360" w:lineRule="auto"/>
        <w:ind w:left="424" w:leftChars="202"/>
        <w:rPr>
          <w:rFonts w:hint="eastAsia" w:ascii="仿宋" w:hAnsi="仿宋" w:eastAsia="仿宋" w:cs="仿宋"/>
          <w:b/>
          <w:szCs w:val="21"/>
        </w:rPr>
      </w:pPr>
      <w:r>
        <w:rPr>
          <w:rFonts w:hint="eastAsia" w:ascii="仿宋" w:hAnsi="仿宋" w:eastAsia="仿宋" w:cs="仿宋"/>
          <w:b/>
          <w:szCs w:val="21"/>
        </w:rPr>
        <w:t xml:space="preserve"> 2．标的交付期限及服务</w:t>
      </w:r>
    </w:p>
    <w:p>
      <w:pPr>
        <w:spacing w:line="360" w:lineRule="auto"/>
        <w:ind w:firstLine="514" w:firstLineChars="245"/>
        <w:rPr>
          <w:rFonts w:hint="eastAsia" w:ascii="仿宋" w:hAnsi="仿宋" w:eastAsia="仿宋" w:cs="仿宋"/>
          <w:szCs w:val="21"/>
        </w:rPr>
      </w:pPr>
      <w:r>
        <w:rPr>
          <w:rFonts w:hint="eastAsia" w:ascii="仿宋" w:hAnsi="仿宋" w:eastAsia="仿宋" w:cs="仿宋"/>
          <w:szCs w:val="21"/>
        </w:rPr>
        <w:t>自正式买卖合同生效之日起一年内完成，各类应用系统应进入全面试运行，投标方应从项目验收之日起提供至少软件为期1年硬件为期3年的免费服务。投标方需要在投标文件中给出预实施工期进度表。具体进度要求待定，中标后与招标方商议决定。</w:t>
      </w:r>
    </w:p>
    <w:p>
      <w:pPr>
        <w:spacing w:line="360" w:lineRule="auto"/>
        <w:ind w:left="424" w:leftChars="202"/>
        <w:rPr>
          <w:rFonts w:hint="eastAsia" w:ascii="仿宋" w:hAnsi="仿宋" w:eastAsia="仿宋" w:cs="仿宋"/>
          <w:b/>
          <w:szCs w:val="21"/>
        </w:rPr>
      </w:pPr>
      <w:r>
        <w:rPr>
          <w:rFonts w:hint="eastAsia" w:ascii="仿宋" w:hAnsi="仿宋" w:eastAsia="仿宋" w:cs="仿宋"/>
          <w:b/>
          <w:szCs w:val="21"/>
        </w:rPr>
        <w:t xml:space="preserve"> 3．标书、双方认定的投标书及评标过程中双方认定的补充文件作为合同的一部分。</w:t>
      </w:r>
    </w:p>
    <w:p>
      <w:pPr>
        <w:spacing w:line="360" w:lineRule="auto"/>
        <w:ind w:left="424" w:leftChars="202"/>
        <w:rPr>
          <w:rFonts w:hint="eastAsia" w:ascii="仿宋" w:hAnsi="仿宋" w:eastAsia="仿宋" w:cs="仿宋"/>
          <w:b/>
          <w:szCs w:val="21"/>
        </w:rPr>
      </w:pPr>
      <w:r>
        <w:rPr>
          <w:rFonts w:hint="eastAsia" w:ascii="仿宋" w:hAnsi="仿宋" w:eastAsia="仿宋" w:cs="仿宋"/>
          <w:b/>
          <w:szCs w:val="21"/>
        </w:rPr>
        <w:t xml:space="preserve"> 4．合同经双方签字盖章后生效。</w:t>
      </w:r>
    </w:p>
    <w:p>
      <w:pPr>
        <w:pStyle w:val="3"/>
        <w:spacing w:before="0" w:after="0" w:line="360" w:lineRule="auto"/>
        <w:rPr>
          <w:rFonts w:hint="eastAsia"/>
          <w:sz w:val="21"/>
          <w:szCs w:val="21"/>
        </w:rPr>
      </w:pPr>
      <w:r>
        <w:rPr>
          <w:rFonts w:hint="eastAsia"/>
          <w:sz w:val="21"/>
          <w:szCs w:val="21"/>
        </w:rPr>
        <w:t xml:space="preserve">    </w:t>
      </w:r>
      <w:bookmarkStart w:id="7" w:name="_Toc31750"/>
      <w:r>
        <w:rPr>
          <w:rFonts w:hint="eastAsia"/>
          <w:sz w:val="21"/>
          <w:szCs w:val="21"/>
        </w:rPr>
        <w:t>七．投标文件构成</w:t>
      </w:r>
      <w:bookmarkEnd w:id="7"/>
    </w:p>
    <w:p>
      <w:pPr>
        <w:tabs>
          <w:tab w:val="left" w:pos="426"/>
        </w:tabs>
        <w:spacing w:line="360" w:lineRule="auto"/>
        <w:ind w:firstLine="373" w:firstLineChars="177"/>
        <w:rPr>
          <w:rFonts w:hint="eastAsia" w:ascii="仿宋" w:hAnsi="仿宋" w:eastAsia="仿宋" w:cs="仿宋"/>
          <w:szCs w:val="21"/>
        </w:rPr>
      </w:pPr>
      <w:r>
        <w:rPr>
          <w:rFonts w:hint="eastAsia" w:ascii="仿宋" w:hAnsi="仿宋" w:eastAsia="仿宋" w:cs="仿宋"/>
          <w:b/>
          <w:bCs/>
          <w:szCs w:val="21"/>
        </w:rPr>
        <w:t xml:space="preserve"> 1、投标人编写的投标文件应包括下列部分</w:t>
      </w:r>
    </w:p>
    <w:p>
      <w:pPr>
        <w:tabs>
          <w:tab w:val="left" w:pos="426"/>
        </w:tabs>
        <w:spacing w:line="360" w:lineRule="auto"/>
        <w:ind w:firstLine="372" w:firstLineChars="177"/>
        <w:rPr>
          <w:rFonts w:hint="eastAsia" w:ascii="仿宋" w:hAnsi="仿宋" w:eastAsia="仿宋" w:cs="仿宋"/>
          <w:szCs w:val="21"/>
        </w:rPr>
      </w:pPr>
      <w:r>
        <w:rPr>
          <w:rFonts w:hint="eastAsia" w:ascii="仿宋" w:hAnsi="仿宋" w:eastAsia="仿宋" w:cs="仿宋"/>
          <w:szCs w:val="21"/>
        </w:rPr>
        <w:t>1)按照本须知要求填写的投标书、投标分项报价表；</w:t>
      </w:r>
    </w:p>
    <w:p>
      <w:pPr>
        <w:tabs>
          <w:tab w:val="left" w:pos="426"/>
        </w:tabs>
        <w:spacing w:line="360" w:lineRule="auto"/>
        <w:ind w:firstLine="372" w:firstLineChars="177"/>
        <w:rPr>
          <w:rFonts w:hint="eastAsia" w:ascii="仿宋" w:hAnsi="仿宋" w:eastAsia="仿宋" w:cs="仿宋"/>
          <w:szCs w:val="21"/>
        </w:rPr>
      </w:pPr>
      <w:r>
        <w:rPr>
          <w:rFonts w:hint="eastAsia" w:ascii="仿宋" w:hAnsi="仿宋" w:eastAsia="仿宋" w:cs="仿宋"/>
          <w:szCs w:val="21"/>
        </w:rPr>
        <w:t>2)按照本须知要求出具的资格证明文件，证明投标人是合格的，而且中标后有能力履行合同；</w:t>
      </w:r>
    </w:p>
    <w:p>
      <w:pPr>
        <w:tabs>
          <w:tab w:val="left" w:pos="426"/>
        </w:tabs>
        <w:spacing w:line="360" w:lineRule="auto"/>
        <w:ind w:firstLine="372" w:firstLineChars="177"/>
        <w:rPr>
          <w:rFonts w:hint="eastAsia" w:ascii="仿宋" w:hAnsi="仿宋" w:eastAsia="仿宋" w:cs="仿宋"/>
          <w:szCs w:val="21"/>
        </w:rPr>
      </w:pPr>
      <w:r>
        <w:rPr>
          <w:rFonts w:hint="eastAsia" w:ascii="仿宋" w:hAnsi="仿宋" w:eastAsia="仿宋" w:cs="仿宋"/>
          <w:szCs w:val="21"/>
        </w:rPr>
        <w:t>3)按照本须知要求出具的证明文件，证明投标人提供的货物及服务是合格的货物和服务，且符合招标文件规定；</w:t>
      </w:r>
    </w:p>
    <w:p>
      <w:pPr>
        <w:tabs>
          <w:tab w:val="left" w:pos="426"/>
        </w:tabs>
        <w:spacing w:line="360" w:lineRule="auto"/>
        <w:ind w:firstLine="372" w:firstLineChars="177"/>
        <w:rPr>
          <w:rFonts w:hint="eastAsia" w:ascii="仿宋" w:hAnsi="仿宋" w:eastAsia="仿宋" w:cs="仿宋"/>
          <w:szCs w:val="21"/>
        </w:rPr>
      </w:pPr>
      <w:r>
        <w:rPr>
          <w:rFonts w:hint="eastAsia" w:ascii="仿宋" w:hAnsi="仿宋" w:eastAsia="仿宋" w:cs="仿宋"/>
          <w:szCs w:val="21"/>
        </w:rPr>
        <w:t>4)按照本须知规定提交的投标保证金；</w:t>
      </w:r>
    </w:p>
    <w:p>
      <w:pPr>
        <w:tabs>
          <w:tab w:val="left" w:pos="426"/>
        </w:tabs>
        <w:spacing w:line="360" w:lineRule="auto"/>
        <w:ind w:firstLine="372" w:firstLineChars="177"/>
        <w:rPr>
          <w:rFonts w:hint="eastAsia" w:ascii="仿宋" w:hAnsi="仿宋" w:eastAsia="仿宋" w:cs="仿宋"/>
          <w:szCs w:val="21"/>
        </w:rPr>
      </w:pPr>
      <w:r>
        <w:rPr>
          <w:rFonts w:hint="eastAsia" w:ascii="仿宋" w:hAnsi="仿宋" w:eastAsia="仿宋" w:cs="仿宋"/>
          <w:szCs w:val="21"/>
        </w:rPr>
        <w:t>5)投标人认为其它需要提供的文件和证书；</w:t>
      </w:r>
    </w:p>
    <w:p>
      <w:pPr>
        <w:tabs>
          <w:tab w:val="left" w:pos="426"/>
        </w:tabs>
        <w:spacing w:line="360" w:lineRule="auto"/>
        <w:ind w:firstLine="372" w:firstLineChars="177"/>
        <w:rPr>
          <w:rFonts w:hint="eastAsia" w:ascii="仿宋" w:hAnsi="仿宋" w:eastAsia="仿宋" w:cs="仿宋"/>
          <w:szCs w:val="21"/>
        </w:rPr>
      </w:pPr>
      <w:r>
        <w:rPr>
          <w:rFonts w:hint="eastAsia" w:ascii="仿宋" w:hAnsi="仿宋" w:eastAsia="仿宋" w:cs="仿宋"/>
          <w:szCs w:val="21"/>
        </w:rPr>
        <w:t>6)投标人提供的上述材料必须真实有效，任何一项的虚假将有可能导致其投标被拒绝。</w:t>
      </w:r>
    </w:p>
    <w:p>
      <w:pPr>
        <w:tabs>
          <w:tab w:val="left" w:pos="426"/>
        </w:tabs>
        <w:spacing w:line="360" w:lineRule="auto"/>
        <w:ind w:firstLine="373" w:firstLineChars="177"/>
        <w:rPr>
          <w:rFonts w:hint="eastAsia" w:ascii="仿宋" w:hAnsi="仿宋" w:eastAsia="仿宋" w:cs="仿宋"/>
          <w:b/>
          <w:bCs/>
          <w:szCs w:val="21"/>
        </w:rPr>
      </w:pPr>
      <w:r>
        <w:rPr>
          <w:rFonts w:hint="eastAsia" w:ascii="仿宋" w:hAnsi="仿宋" w:eastAsia="仿宋" w:cs="仿宋"/>
          <w:b/>
          <w:bCs/>
          <w:szCs w:val="21"/>
        </w:rPr>
        <w:t>2．投标报价</w:t>
      </w:r>
    </w:p>
    <w:p>
      <w:pPr>
        <w:tabs>
          <w:tab w:val="left" w:pos="426"/>
        </w:tabs>
        <w:spacing w:line="360" w:lineRule="auto"/>
        <w:ind w:firstLine="372" w:firstLineChars="177"/>
        <w:rPr>
          <w:rFonts w:hint="eastAsia" w:ascii="仿宋" w:hAnsi="仿宋" w:eastAsia="仿宋" w:cs="仿宋"/>
          <w:szCs w:val="21"/>
        </w:rPr>
      </w:pPr>
      <w:r>
        <w:rPr>
          <w:rFonts w:hint="eastAsia" w:ascii="仿宋" w:hAnsi="仿宋" w:eastAsia="仿宋" w:cs="仿宋"/>
          <w:szCs w:val="21"/>
        </w:rPr>
        <w:t>1)本项目要求投标人必须以人民币形式报出所投标产品到用户现场的全部费用，包括产品和标准附件、备品备件、专用工具的价格，也包括安装、调试、检验、培训、技术服务、相关运输费和保险费等费用。</w:t>
      </w:r>
    </w:p>
    <w:p>
      <w:pPr>
        <w:tabs>
          <w:tab w:val="left" w:pos="426"/>
        </w:tabs>
        <w:spacing w:line="360" w:lineRule="auto"/>
        <w:ind w:firstLine="372" w:firstLineChars="177"/>
        <w:rPr>
          <w:rFonts w:hint="eastAsia" w:ascii="仿宋" w:hAnsi="仿宋" w:eastAsia="仿宋" w:cs="仿宋"/>
          <w:szCs w:val="21"/>
        </w:rPr>
      </w:pPr>
      <w:r>
        <w:rPr>
          <w:rFonts w:hint="eastAsia" w:ascii="仿宋" w:hAnsi="仿宋" w:eastAsia="仿宋" w:cs="仿宋"/>
          <w:szCs w:val="21"/>
        </w:rPr>
        <w:t xml:space="preserve">2)投标人应在投标分项报价表上标明本合同拟提供货物/服务的单价和总价。 </w:t>
      </w:r>
    </w:p>
    <w:p>
      <w:pPr>
        <w:tabs>
          <w:tab w:val="left" w:pos="426"/>
        </w:tabs>
        <w:spacing w:line="360" w:lineRule="auto"/>
        <w:ind w:firstLine="372" w:firstLineChars="177"/>
        <w:rPr>
          <w:rFonts w:hint="eastAsia" w:ascii="仿宋" w:hAnsi="仿宋" w:eastAsia="仿宋" w:cs="仿宋"/>
          <w:szCs w:val="21"/>
        </w:rPr>
      </w:pPr>
      <w:r>
        <w:rPr>
          <w:rFonts w:hint="eastAsia" w:ascii="仿宋" w:hAnsi="仿宋" w:eastAsia="仿宋" w:cs="仿宋"/>
          <w:szCs w:val="21"/>
        </w:rPr>
        <w:t>3)投标人根据本须知的规定将投标价分成几部分，只是为了方便招标采购单位和评标委员会对投标文件进行比较，并不限制采购人以上述任何条件订立合同的权力。</w:t>
      </w:r>
    </w:p>
    <w:p>
      <w:pPr>
        <w:tabs>
          <w:tab w:val="left" w:pos="426"/>
        </w:tabs>
        <w:spacing w:line="360" w:lineRule="auto"/>
        <w:ind w:firstLine="372" w:firstLineChars="177"/>
        <w:rPr>
          <w:rFonts w:hint="eastAsia" w:ascii="仿宋" w:hAnsi="仿宋" w:eastAsia="仿宋" w:cs="仿宋"/>
          <w:szCs w:val="21"/>
        </w:rPr>
      </w:pPr>
      <w:r>
        <w:rPr>
          <w:rFonts w:hint="eastAsia" w:ascii="仿宋" w:hAnsi="仿宋" w:eastAsia="仿宋" w:cs="仿宋"/>
          <w:szCs w:val="21"/>
        </w:rPr>
        <w:t>4)投标人所报的各分项投标单价在合同执行过程中是固定不变的，不得以任何理由予以变更，以可调整的价格提交的投标文件将作为非响应性投标而予以拒绝。</w:t>
      </w:r>
    </w:p>
    <w:p>
      <w:pPr>
        <w:tabs>
          <w:tab w:val="left" w:pos="426"/>
        </w:tabs>
        <w:spacing w:line="360" w:lineRule="auto"/>
        <w:ind w:firstLine="373" w:firstLineChars="177"/>
        <w:rPr>
          <w:rFonts w:hint="eastAsia" w:ascii="仿宋" w:hAnsi="仿宋" w:eastAsia="仿宋" w:cs="仿宋"/>
          <w:szCs w:val="21"/>
        </w:rPr>
      </w:pPr>
      <w:r>
        <w:rPr>
          <w:rFonts w:hint="eastAsia" w:ascii="仿宋" w:hAnsi="仿宋" w:eastAsia="仿宋" w:cs="仿宋"/>
          <w:b/>
          <w:bCs/>
          <w:szCs w:val="21"/>
        </w:rPr>
        <w:t>3．证明投标人合格和资格的文件</w:t>
      </w:r>
    </w:p>
    <w:p>
      <w:pPr>
        <w:tabs>
          <w:tab w:val="left" w:pos="426"/>
        </w:tabs>
        <w:spacing w:line="360" w:lineRule="auto"/>
        <w:ind w:firstLine="372" w:firstLineChars="177"/>
        <w:rPr>
          <w:rFonts w:hint="eastAsia" w:ascii="仿宋" w:hAnsi="仿宋" w:eastAsia="仿宋" w:cs="仿宋"/>
          <w:szCs w:val="21"/>
        </w:rPr>
      </w:pPr>
      <w:r>
        <w:rPr>
          <w:rFonts w:hint="eastAsia" w:ascii="仿宋" w:hAnsi="仿宋" w:eastAsia="仿宋" w:cs="仿宋"/>
          <w:szCs w:val="21"/>
        </w:rPr>
        <w:t>1)投标人应提交证明其有资格参加投标和中标后有能力履行合同的文件，并作为其投标文件的一部分。</w:t>
      </w:r>
    </w:p>
    <w:p>
      <w:pPr>
        <w:tabs>
          <w:tab w:val="left" w:pos="426"/>
        </w:tabs>
        <w:spacing w:line="360" w:lineRule="auto"/>
        <w:ind w:firstLine="372" w:firstLineChars="177"/>
        <w:rPr>
          <w:rFonts w:hint="eastAsia" w:ascii="仿宋" w:hAnsi="仿宋" w:eastAsia="仿宋" w:cs="仿宋"/>
          <w:szCs w:val="21"/>
        </w:rPr>
      </w:pPr>
      <w:r>
        <w:rPr>
          <w:rFonts w:hint="eastAsia" w:ascii="仿宋" w:hAnsi="仿宋" w:eastAsia="仿宋" w:cs="仿宋"/>
          <w:szCs w:val="21"/>
        </w:rPr>
        <w:t>2)投标人应提交证明其合格性的文件，如营业执照等资格证明文件，以使招标采购单位满意。投标人应符合本须知对合格投标人的要求。</w:t>
      </w:r>
    </w:p>
    <w:p>
      <w:pPr>
        <w:tabs>
          <w:tab w:val="left" w:pos="426"/>
        </w:tabs>
        <w:spacing w:line="360" w:lineRule="auto"/>
        <w:ind w:firstLine="372" w:firstLineChars="177"/>
        <w:rPr>
          <w:rFonts w:hint="eastAsia" w:ascii="仿宋" w:hAnsi="仿宋" w:eastAsia="仿宋" w:cs="仿宋"/>
          <w:szCs w:val="21"/>
        </w:rPr>
      </w:pPr>
      <w:r>
        <w:rPr>
          <w:rFonts w:hint="eastAsia" w:ascii="仿宋" w:hAnsi="仿宋" w:eastAsia="仿宋" w:cs="仿宋"/>
          <w:szCs w:val="21"/>
        </w:rPr>
        <w:t>3)投标人提交的证明其中标后能履行合同的资格证明文件应使招标采购单位满意。</w:t>
      </w:r>
    </w:p>
    <w:p>
      <w:pPr>
        <w:tabs>
          <w:tab w:val="left" w:pos="426"/>
        </w:tabs>
        <w:spacing w:line="360" w:lineRule="auto"/>
        <w:ind w:firstLine="373" w:firstLineChars="177"/>
        <w:rPr>
          <w:rFonts w:hint="eastAsia" w:ascii="仿宋" w:hAnsi="仿宋" w:eastAsia="仿宋" w:cs="仿宋"/>
          <w:szCs w:val="21"/>
        </w:rPr>
      </w:pPr>
      <w:r>
        <w:rPr>
          <w:rFonts w:hint="eastAsia" w:ascii="仿宋" w:hAnsi="仿宋" w:eastAsia="仿宋" w:cs="仿宋"/>
          <w:b/>
          <w:bCs/>
          <w:szCs w:val="21"/>
        </w:rPr>
        <w:t>4．证明产品的合格性和符合招标文件规定的文件</w:t>
      </w:r>
    </w:p>
    <w:p>
      <w:pPr>
        <w:tabs>
          <w:tab w:val="left" w:pos="426"/>
        </w:tabs>
        <w:spacing w:line="360" w:lineRule="auto"/>
        <w:ind w:firstLine="372" w:firstLineChars="177"/>
        <w:rPr>
          <w:rFonts w:hint="eastAsia" w:ascii="仿宋" w:hAnsi="仿宋" w:eastAsia="仿宋" w:cs="仿宋"/>
          <w:szCs w:val="21"/>
        </w:rPr>
      </w:pPr>
      <w:r>
        <w:rPr>
          <w:rFonts w:hint="eastAsia" w:ascii="仿宋" w:hAnsi="仿宋" w:eastAsia="仿宋" w:cs="仿宋"/>
          <w:szCs w:val="21"/>
        </w:rPr>
        <w:t>1) 投标人应提交证明文件证明其拟供的合同项下的货物和服务的合格性和符合招标文件规定。该证明文件作为投标文件的一部分。</w:t>
      </w:r>
    </w:p>
    <w:p>
      <w:pPr>
        <w:tabs>
          <w:tab w:val="left" w:pos="426"/>
        </w:tabs>
        <w:spacing w:line="360" w:lineRule="auto"/>
        <w:ind w:firstLine="372" w:firstLineChars="177"/>
        <w:rPr>
          <w:rFonts w:hint="eastAsia" w:ascii="仿宋" w:hAnsi="仿宋" w:eastAsia="仿宋" w:cs="仿宋"/>
          <w:szCs w:val="21"/>
        </w:rPr>
      </w:pPr>
      <w:r>
        <w:rPr>
          <w:rFonts w:hint="eastAsia" w:ascii="仿宋" w:hAnsi="仿宋" w:eastAsia="仿宋" w:cs="仿宋"/>
          <w:szCs w:val="21"/>
        </w:rPr>
        <w:t>2) 证明货物和服务满足招标文件的要求的文件，可以是文字资料、图纸和数据，它包括但不限于：</w:t>
      </w:r>
    </w:p>
    <w:p>
      <w:pPr>
        <w:tabs>
          <w:tab w:val="left" w:pos="426"/>
        </w:tabs>
        <w:spacing w:line="360" w:lineRule="auto"/>
        <w:ind w:firstLine="372" w:firstLineChars="177"/>
        <w:rPr>
          <w:rFonts w:hint="eastAsia" w:ascii="仿宋" w:hAnsi="仿宋" w:eastAsia="仿宋" w:cs="仿宋"/>
          <w:szCs w:val="21"/>
        </w:rPr>
      </w:pPr>
      <w:r>
        <w:rPr>
          <w:rFonts w:hint="eastAsia" w:ascii="仿宋" w:hAnsi="仿宋" w:eastAsia="仿宋" w:cs="仿宋"/>
          <w:szCs w:val="21"/>
        </w:rPr>
        <w:t>I）技术方案。</w:t>
      </w:r>
    </w:p>
    <w:p>
      <w:pPr>
        <w:tabs>
          <w:tab w:val="left" w:pos="426"/>
        </w:tabs>
        <w:spacing w:line="360" w:lineRule="auto"/>
        <w:ind w:firstLine="372" w:firstLineChars="177"/>
        <w:rPr>
          <w:rFonts w:hint="eastAsia" w:ascii="仿宋" w:hAnsi="仿宋" w:eastAsia="仿宋" w:cs="仿宋"/>
          <w:szCs w:val="21"/>
        </w:rPr>
      </w:pPr>
      <w:r>
        <w:rPr>
          <w:rFonts w:hint="eastAsia" w:ascii="仿宋" w:hAnsi="仿宋" w:eastAsia="仿宋" w:cs="仿宋"/>
          <w:szCs w:val="21"/>
        </w:rPr>
        <w:t>II）项目实施方案及售后服务方案和承诺。</w:t>
      </w:r>
    </w:p>
    <w:p>
      <w:pPr>
        <w:tabs>
          <w:tab w:val="left" w:pos="426"/>
        </w:tabs>
        <w:spacing w:line="360" w:lineRule="auto"/>
        <w:ind w:firstLine="372" w:firstLineChars="177"/>
        <w:rPr>
          <w:rFonts w:hint="eastAsia" w:ascii="仿宋" w:hAnsi="仿宋" w:eastAsia="仿宋" w:cs="仿宋"/>
          <w:szCs w:val="21"/>
        </w:rPr>
      </w:pPr>
      <w:r>
        <w:rPr>
          <w:rFonts w:hint="eastAsia" w:ascii="仿宋" w:hAnsi="仿宋" w:eastAsia="仿宋" w:cs="仿宋"/>
          <w:szCs w:val="21"/>
        </w:rPr>
        <w:t>III）对照招标文件技术要求,说明所提供产品和服务已对采购人的技术要求做出了实质性的响应，或申明与技术要求条文的偏差和例外。</w:t>
      </w:r>
    </w:p>
    <w:p>
      <w:pPr>
        <w:tabs>
          <w:tab w:val="left" w:pos="426"/>
        </w:tabs>
        <w:spacing w:line="360" w:lineRule="auto"/>
        <w:ind w:firstLine="373" w:firstLineChars="177"/>
        <w:rPr>
          <w:rFonts w:hint="eastAsia" w:ascii="仿宋" w:hAnsi="仿宋" w:eastAsia="仿宋" w:cs="仿宋"/>
          <w:szCs w:val="21"/>
        </w:rPr>
      </w:pPr>
      <w:r>
        <w:rPr>
          <w:rFonts w:hint="eastAsia" w:ascii="仿宋" w:hAnsi="仿宋" w:eastAsia="仿宋" w:cs="仿宋"/>
          <w:b/>
          <w:bCs/>
          <w:szCs w:val="21"/>
        </w:rPr>
        <w:t>5．投标有效期</w:t>
      </w:r>
    </w:p>
    <w:p>
      <w:pPr>
        <w:tabs>
          <w:tab w:val="left" w:pos="426"/>
        </w:tabs>
        <w:spacing w:line="360" w:lineRule="auto"/>
        <w:ind w:firstLine="372" w:firstLineChars="177"/>
        <w:rPr>
          <w:rFonts w:hint="eastAsia" w:ascii="仿宋" w:hAnsi="仿宋" w:eastAsia="仿宋" w:cs="仿宋"/>
          <w:szCs w:val="21"/>
        </w:rPr>
      </w:pPr>
      <w:r>
        <w:rPr>
          <w:rFonts w:hint="eastAsia" w:ascii="仿宋" w:hAnsi="仿宋" w:eastAsia="仿宋" w:cs="仿宋"/>
          <w:szCs w:val="21"/>
        </w:rPr>
        <w:t>投标应在规定的开标日起30日内保持有效，投标有效期不满足要求的投标将被视为非响应性投标而予以拒绝。</w:t>
      </w:r>
    </w:p>
    <w:p>
      <w:pPr>
        <w:tabs>
          <w:tab w:val="left" w:pos="426"/>
        </w:tabs>
        <w:spacing w:line="360" w:lineRule="auto"/>
        <w:ind w:firstLine="373" w:firstLineChars="177"/>
        <w:rPr>
          <w:rFonts w:hint="eastAsia" w:ascii="仿宋" w:hAnsi="仿宋" w:eastAsia="仿宋" w:cs="仿宋"/>
          <w:szCs w:val="21"/>
        </w:rPr>
      </w:pPr>
      <w:r>
        <w:rPr>
          <w:rFonts w:hint="eastAsia" w:ascii="仿宋" w:hAnsi="仿宋" w:eastAsia="仿宋" w:cs="仿宋"/>
          <w:b/>
          <w:bCs/>
          <w:szCs w:val="21"/>
        </w:rPr>
        <w:t>6．投标文件的式样和签署</w:t>
      </w:r>
    </w:p>
    <w:p>
      <w:pPr>
        <w:tabs>
          <w:tab w:val="left" w:pos="426"/>
        </w:tabs>
        <w:spacing w:line="360" w:lineRule="auto"/>
        <w:ind w:firstLine="372" w:firstLineChars="177"/>
        <w:rPr>
          <w:rFonts w:hint="eastAsia" w:ascii="仿宋" w:hAnsi="仿宋" w:eastAsia="仿宋" w:cs="仿宋"/>
          <w:szCs w:val="21"/>
        </w:rPr>
      </w:pPr>
      <w:r>
        <w:rPr>
          <w:rFonts w:hint="eastAsia" w:ascii="仿宋" w:hAnsi="仿宋" w:eastAsia="仿宋" w:cs="仿宋"/>
          <w:szCs w:val="21"/>
        </w:rPr>
        <w:t>1） 投标人应准备1份投标文件正本和10份副本，每套投标文件须清楚地标明“正本”或“副本”。若正本和副本不符，以正本为准。</w:t>
      </w:r>
    </w:p>
    <w:p>
      <w:pPr>
        <w:tabs>
          <w:tab w:val="left" w:pos="426"/>
        </w:tabs>
        <w:spacing w:line="360" w:lineRule="auto"/>
        <w:ind w:firstLine="372" w:firstLineChars="177"/>
        <w:rPr>
          <w:rFonts w:hint="eastAsia" w:ascii="仿宋" w:hAnsi="仿宋" w:eastAsia="仿宋" w:cs="仿宋"/>
          <w:szCs w:val="21"/>
        </w:rPr>
      </w:pPr>
      <w:r>
        <w:rPr>
          <w:rFonts w:hint="eastAsia" w:ascii="仿宋" w:hAnsi="仿宋" w:eastAsia="仿宋" w:cs="仿宋"/>
          <w:szCs w:val="21"/>
        </w:rPr>
        <w:t>2）投标文件正本应由投标人法定代表人或经正式授权并对投标人有约束力的代表在规定的地方签字、加盖公章。授权代表须将以书面形式出具的授权书附在投标文件中。</w:t>
      </w:r>
    </w:p>
    <w:p>
      <w:pPr>
        <w:tabs>
          <w:tab w:val="left" w:pos="426"/>
        </w:tabs>
        <w:spacing w:line="360" w:lineRule="auto"/>
        <w:ind w:firstLine="372" w:firstLineChars="177"/>
        <w:rPr>
          <w:rFonts w:hint="eastAsia" w:ascii="仿宋" w:hAnsi="仿宋" w:eastAsia="仿宋" w:cs="仿宋"/>
          <w:szCs w:val="21"/>
        </w:rPr>
      </w:pPr>
      <w:r>
        <w:rPr>
          <w:rFonts w:hint="eastAsia" w:ascii="仿宋" w:hAnsi="仿宋" w:eastAsia="仿宋" w:cs="仿宋"/>
          <w:szCs w:val="21"/>
        </w:rPr>
        <w:t>3）任何行间插字、涂改和增删，必须由投标文件签字人在旁边签字才有效。</w:t>
      </w:r>
    </w:p>
    <w:p>
      <w:pPr>
        <w:tabs>
          <w:tab w:val="left" w:pos="426"/>
        </w:tabs>
        <w:spacing w:line="360" w:lineRule="auto"/>
        <w:ind w:firstLine="372" w:firstLineChars="177"/>
        <w:rPr>
          <w:rFonts w:hint="eastAsia" w:ascii="仿宋" w:hAnsi="仿宋" w:eastAsia="仿宋" w:cs="仿宋"/>
          <w:szCs w:val="21"/>
        </w:rPr>
      </w:pPr>
      <w:r>
        <w:rPr>
          <w:rFonts w:hint="eastAsia" w:ascii="仿宋" w:hAnsi="仿宋" w:eastAsia="仿宋" w:cs="仿宋"/>
          <w:szCs w:val="21"/>
        </w:rPr>
        <w:t>4） 投标文件正副本均须装订牢固，不得活页装订，否则其投标将被拒绝。</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中倩简体">
    <w:altName w:val="Segoe Print"/>
    <w:panose1 w:val="00000000000000000000"/>
    <w:charset w:val="00"/>
    <w:family w:val="auto"/>
    <w:pitch w:val="default"/>
    <w:sig w:usb0="00000000" w:usb1="00000000" w:usb2="00000000" w:usb3="00000000" w:csb0="00040001" w:csb1="00000000"/>
  </w:font>
  <w:font w:name="方正艺黑简体">
    <w:altName w:val="黑体"/>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Trebuchet MS">
    <w:panose1 w:val="020B0603020202020204"/>
    <w:charset w:val="00"/>
    <w:family w:val="swiss"/>
    <w:pitch w:val="default"/>
    <w:sig w:usb0="00000287" w:usb1="00000000" w:usb2="00000000" w:usb3="00000000" w:csb0="2000009F" w:csb1="00000000"/>
  </w:font>
  <w:font w:name="Book Antiqua">
    <w:panose1 w:val="02040602050305030304"/>
    <w:charset w:val="00"/>
    <w:family w:val="roman"/>
    <w:pitch w:val="default"/>
    <w:sig w:usb0="00000287" w:usb1="00000000" w:usb2="00000000" w:usb3="00000000" w:csb0="2000009F" w:csb1="DFD70000"/>
  </w:font>
  <w:font w:name="PMingLiU">
    <w:panose1 w:val="02020500000000000000"/>
    <w:charset w:val="88"/>
    <w:family w:val="roman"/>
    <w:pitch w:val="default"/>
    <w:sig w:usb0="A00002FF" w:usb1="28CFFCFA" w:usb2="00000016"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ˎ̥">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1417CC"/>
    <w:rsid w:val="07312B0E"/>
    <w:rsid w:val="1A1417C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2"/>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4">
    <w:name w:val="Body Text Indent"/>
    <w:basedOn w:val="1"/>
    <w:uiPriority w:val="0"/>
    <w:pPr>
      <w:ind w:firstLine="600"/>
    </w:pPr>
    <w:rPr>
      <w:sz w:val="30"/>
      <w:szCs w:val="20"/>
    </w:rPr>
  </w:style>
  <w:style w:type="paragraph" w:styleId="5">
    <w:name w:val="toc 3"/>
    <w:basedOn w:val="1"/>
    <w:next w:val="1"/>
    <w:uiPriority w:val="0"/>
    <w:pPr>
      <w:tabs>
        <w:tab w:val="right" w:leader="dot" w:pos="8302"/>
      </w:tabs>
      <w:ind w:left="420"/>
      <w:jc w:val="left"/>
    </w:pPr>
    <w:rPr>
      <w:sz w:val="20"/>
      <w:szCs w:val="20"/>
    </w:rPr>
  </w:style>
  <w:style w:type="paragraph" w:styleId="6">
    <w:name w:val="toc 1"/>
    <w:basedOn w:val="1"/>
    <w:next w:val="1"/>
    <w:uiPriority w:val="0"/>
    <w:pPr>
      <w:tabs>
        <w:tab w:val="left" w:pos="840"/>
        <w:tab w:val="right" w:leader="dot" w:pos="8302"/>
      </w:tabs>
      <w:spacing w:before="120" w:after="120"/>
      <w:jc w:val="left"/>
    </w:pPr>
    <w:rPr>
      <w:rFonts w:ascii="宋体" w:hAnsi="宋体"/>
    </w:rPr>
  </w:style>
  <w:style w:type="paragraph" w:styleId="7">
    <w:name w:val="toc 4"/>
    <w:basedOn w:val="1"/>
    <w:next w:val="1"/>
    <w:uiPriority w:val="0"/>
    <w:pPr>
      <w:ind w:left="1260" w:leftChars="600"/>
    </w:pPr>
  </w:style>
  <w:style w:type="paragraph" w:styleId="8">
    <w:name w:val="toc 2"/>
    <w:basedOn w:val="1"/>
    <w:next w:val="1"/>
    <w:uiPriority w:val="0"/>
    <w:pPr>
      <w:ind w:left="210"/>
      <w:jc w:val="left"/>
    </w:pPr>
    <w:rPr>
      <w:smallCaps/>
      <w:sz w:val="20"/>
      <w:szCs w:val="20"/>
    </w:rPr>
  </w:style>
  <w:style w:type="paragraph" w:customStyle="1" w:styleId="11">
    <w:name w:val="标题4"/>
    <w:basedOn w:val="1"/>
    <w:next w:val="1"/>
    <w:uiPriority w:val="0"/>
    <w:rPr>
      <w:rFonts w:ascii="Calibri" w:hAnsi="Calibri" w:eastAsia="黑体" w:cs="Times New Roman"/>
      <w:b/>
      <w:sz w:val="28"/>
    </w:rPr>
  </w:style>
  <w:style w:type="character" w:customStyle="1" w:styleId="12">
    <w:name w:val="标题 2 Char1"/>
    <w:link w:val="3"/>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2017-02-28T01:14:00Z</dcterms:created>
  <dc:creator>Administrator</dc:creator>
  <cp:lastModifiedBy>Administrator</cp:lastModifiedBy>
  <dcterms:modified xsi:type="dcterms:W3CDTF">2017-02-28T01:16:24Z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